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F5056A" w:rsidRDefault="00A84F3C" w:rsidP="006A393C">
      <w:pPr>
        <w:pStyle w:val="Untertitel"/>
        <w:rPr>
          <w:b w:val="0"/>
          <w:sz w:val="22"/>
        </w:rPr>
      </w:pPr>
    </w:p>
    <w:p w:rsidR="00A84F3C" w:rsidRPr="00697EFD" w:rsidRDefault="00A84F3C" w:rsidP="00A84F3C">
      <w:pPr>
        <w:pStyle w:val="Kopfzeile"/>
        <w:tabs>
          <w:tab w:val="clear" w:pos="4536"/>
          <w:tab w:val="clear" w:pos="9072"/>
        </w:tabs>
        <w:rPr>
          <w:sz w:val="22"/>
        </w:rPr>
      </w:pPr>
    </w:p>
    <w:p w:rsidR="00A84F3C" w:rsidRPr="00697EFD" w:rsidRDefault="00A84F3C" w:rsidP="00A84F3C">
      <w:pPr>
        <w:pStyle w:val="Kopfzeile"/>
        <w:tabs>
          <w:tab w:val="clear" w:pos="4536"/>
          <w:tab w:val="clear" w:pos="9072"/>
          <w:tab w:val="left" w:pos="8222"/>
        </w:tabs>
        <w:rPr>
          <w:sz w:val="22"/>
        </w:rPr>
      </w:pPr>
    </w:p>
    <w:p w:rsidR="00A65266" w:rsidRDefault="00A65266" w:rsidP="00936DA0">
      <w:pPr>
        <w:tabs>
          <w:tab w:val="left" w:pos="7088"/>
        </w:tabs>
        <w:rPr>
          <w:sz w:val="16"/>
          <w:lang w:val="en-US"/>
        </w:rPr>
      </w:pPr>
    </w:p>
    <w:p w:rsidR="00A65266" w:rsidRDefault="00A65266" w:rsidP="00936DA0">
      <w:pPr>
        <w:tabs>
          <w:tab w:val="left" w:pos="7088"/>
        </w:tabs>
        <w:rPr>
          <w:sz w:val="16"/>
          <w:lang w:val="en-US"/>
        </w:rPr>
      </w:pPr>
    </w:p>
    <w:p w:rsidR="00A84F3C" w:rsidRPr="00541077" w:rsidRDefault="005E1D00" w:rsidP="00604EEF">
      <w:pPr>
        <w:tabs>
          <w:tab w:val="left" w:pos="7088"/>
        </w:tabs>
        <w:spacing w:line="360" w:lineRule="auto"/>
        <w:rPr>
          <w:sz w:val="14"/>
          <w:szCs w:val="18"/>
          <w:lang w:val="en-US"/>
        </w:rPr>
      </w:pPr>
      <w:r>
        <w:rPr>
          <w:sz w:val="16"/>
          <w:lang w:val="en-US"/>
        </w:rPr>
        <w:t>1</w:t>
      </w:r>
      <w:r w:rsidR="00C84658">
        <w:rPr>
          <w:sz w:val="16"/>
          <w:lang w:val="en-US"/>
        </w:rPr>
        <w:t>4</w:t>
      </w:r>
      <w:r w:rsidR="008860AD" w:rsidRPr="008860AD">
        <w:rPr>
          <w:sz w:val="16"/>
          <w:vertAlign w:val="superscript"/>
          <w:lang w:val="en-US"/>
        </w:rPr>
        <w:t>th</w:t>
      </w:r>
      <w:r w:rsidR="008860AD">
        <w:rPr>
          <w:sz w:val="16"/>
          <w:lang w:val="en-US"/>
        </w:rPr>
        <w:t xml:space="preserve"> </w:t>
      </w:r>
      <w:r>
        <w:rPr>
          <w:sz w:val="16"/>
          <w:lang w:val="en-US"/>
        </w:rPr>
        <w:t>July</w:t>
      </w:r>
      <w:r w:rsidR="008860AD">
        <w:rPr>
          <w:sz w:val="16"/>
          <w:lang w:val="en-US"/>
        </w:rPr>
        <w:t xml:space="preserve"> </w:t>
      </w:r>
      <w:r w:rsidR="0031563C" w:rsidRPr="00541077">
        <w:rPr>
          <w:sz w:val="16"/>
          <w:lang w:val="en-US"/>
        </w:rPr>
        <w:t>201</w:t>
      </w:r>
      <w:r w:rsidR="009F089C">
        <w:rPr>
          <w:sz w:val="16"/>
          <w:lang w:val="en-US"/>
        </w:rPr>
        <w:t>7</w:t>
      </w:r>
    </w:p>
    <w:p w:rsidR="003B2FE3" w:rsidRPr="00236275" w:rsidRDefault="003B2FE3" w:rsidP="003B2FE3">
      <w:pPr>
        <w:spacing w:line="360" w:lineRule="auto"/>
        <w:rPr>
          <w:b/>
          <w:sz w:val="28"/>
          <w:lang w:val="en-GB"/>
        </w:rPr>
      </w:pPr>
    </w:p>
    <w:p w:rsidR="005E1D00" w:rsidRPr="008D676F" w:rsidRDefault="005E1D00" w:rsidP="005E1D00">
      <w:pPr>
        <w:spacing w:line="360" w:lineRule="auto"/>
        <w:rPr>
          <w:rFonts w:cs="Arial"/>
          <w:b/>
          <w:sz w:val="22"/>
        </w:rPr>
      </w:pPr>
      <w:r>
        <w:rPr>
          <w:rFonts w:eastAsia="SimSun"/>
          <w:b/>
          <w:sz w:val="28"/>
          <w:lang w:val="en-GB"/>
        </w:rPr>
        <w:t xml:space="preserve">The big specialist for small quantities – </w:t>
      </w:r>
      <w:r w:rsidR="00F631D9">
        <w:rPr>
          <w:rFonts w:eastAsia="SimSun"/>
          <w:b/>
          <w:sz w:val="28"/>
          <w:lang w:val="en-GB"/>
        </w:rPr>
        <w:t>G</w:t>
      </w:r>
      <w:r>
        <w:rPr>
          <w:rFonts w:eastAsia="SimSun"/>
          <w:b/>
          <w:sz w:val="28"/>
          <w:lang w:val="en-GB"/>
        </w:rPr>
        <w:t xml:space="preserve">EMÜ 567 </w:t>
      </w:r>
      <w:proofErr w:type="spellStart"/>
      <w:r>
        <w:rPr>
          <w:rFonts w:eastAsia="SimSun"/>
          <w:b/>
          <w:sz w:val="28"/>
          <w:lang w:val="en-GB"/>
        </w:rPr>
        <w:t>BioStar</w:t>
      </w:r>
      <w:proofErr w:type="spellEnd"/>
      <w:r>
        <w:rPr>
          <w:rFonts w:cs="Arial"/>
          <w:sz w:val="28"/>
          <w:vertAlign w:val="superscript"/>
          <w:lang w:val="en-GB"/>
        </w:rPr>
        <w:t xml:space="preserve"> </w:t>
      </w:r>
      <w:r>
        <w:rPr>
          <w:rFonts w:eastAsia="SimSun"/>
          <w:b/>
          <w:sz w:val="28"/>
          <w:lang w:val="en-GB"/>
        </w:rPr>
        <w:t>control</w:t>
      </w:r>
    </w:p>
    <w:p w:rsidR="008860AD" w:rsidRPr="008860AD" w:rsidRDefault="008860AD" w:rsidP="008860AD">
      <w:pPr>
        <w:tabs>
          <w:tab w:val="left" w:pos="1005"/>
        </w:tabs>
        <w:rPr>
          <w:rFonts w:cs="Arial"/>
          <w:sz w:val="22"/>
          <w:szCs w:val="22"/>
          <w:lang w:val="en-US"/>
        </w:rPr>
      </w:pPr>
      <w:r>
        <w:rPr>
          <w:rFonts w:cs="Arial"/>
          <w:sz w:val="22"/>
          <w:szCs w:val="22"/>
          <w:lang w:val="en-US"/>
        </w:rPr>
        <w:tab/>
      </w:r>
    </w:p>
    <w:p w:rsidR="00B17BF6" w:rsidRDefault="005E1D00" w:rsidP="00B17BF6">
      <w:pPr>
        <w:spacing w:line="360" w:lineRule="auto"/>
        <w:rPr>
          <w:b/>
          <w:noProof/>
          <w:sz w:val="22"/>
          <w:lang w:val="en-GB"/>
        </w:rPr>
      </w:pPr>
      <w:r w:rsidRPr="00240033">
        <w:rPr>
          <w:b/>
          <w:noProof/>
          <w:sz w:val="22"/>
          <w:lang w:val="en-GB"/>
        </w:rPr>
        <w:t>The GEMÜ 567 BioStar control valve is the new, safe solution for media controls from 0.08 to 4.1 m³/h.</w:t>
      </w:r>
    </w:p>
    <w:p w:rsidR="005E1D00" w:rsidRDefault="005E1D00" w:rsidP="00B17BF6">
      <w:pPr>
        <w:spacing w:line="360" w:lineRule="auto"/>
        <w:rPr>
          <w:rFonts w:eastAsiaTheme="minorHAnsi" w:cs="Arial"/>
          <w:color w:val="000000"/>
          <w:sz w:val="22"/>
          <w:szCs w:val="22"/>
          <w:lang w:val="en-GB"/>
        </w:rPr>
      </w:pPr>
    </w:p>
    <w:p w:rsidR="005E1D00" w:rsidRPr="008D676F" w:rsidRDefault="005E1D00" w:rsidP="005E1D00">
      <w:pPr>
        <w:spacing w:line="360" w:lineRule="auto"/>
        <w:rPr>
          <w:noProof/>
          <w:sz w:val="22"/>
        </w:rPr>
      </w:pPr>
      <w:r>
        <w:rPr>
          <w:noProof/>
          <w:sz w:val="22"/>
          <w:lang w:val="en-GB"/>
        </w:rPr>
        <w:t>The sealing takes place via a PTFE diaphragm with PD technology (plug diaphragm), which combines the advantages of a diaphragm valve with those of a globe valve. This valve is available with linear control characteristics and with equal-percentage control characteristics.</w:t>
      </w:r>
    </w:p>
    <w:p w:rsidR="005E1D00" w:rsidRPr="008D676F" w:rsidRDefault="005E1D00" w:rsidP="005E1D00">
      <w:pPr>
        <w:spacing w:line="360" w:lineRule="auto"/>
        <w:rPr>
          <w:noProof/>
          <w:sz w:val="22"/>
        </w:rPr>
      </w:pPr>
    </w:p>
    <w:p w:rsidR="005E1D00" w:rsidRPr="008D676F" w:rsidRDefault="005E1D00" w:rsidP="005E1D00">
      <w:pPr>
        <w:spacing w:line="360" w:lineRule="auto"/>
        <w:rPr>
          <w:noProof/>
          <w:sz w:val="22"/>
        </w:rPr>
      </w:pPr>
      <w:r>
        <w:rPr>
          <w:noProof/>
          <w:sz w:val="22"/>
          <w:lang w:val="en-GB"/>
        </w:rPr>
        <w:t>Aseptic diaphragm valves are frequently used as control valves for sterile applications. This means that small volumes can only be controlled with an inadequate level of accuracy, or not at all. The new 2/2-way diaphragm globe valve with regulating needle or regulating cone fills these gaps. The actuator is sealed by an FDA-compliant and USP Class VI compliant PTFE diaphragm. In combination with a spring washer, this ensures that the seal is permanently temperature-resistant, meaning that the diaphragm need not be re-tightened. In comparison with bellows valves, cleaning the valve is significantly improved by the hygienic construction.</w:t>
      </w:r>
    </w:p>
    <w:p w:rsidR="005E1D00" w:rsidRPr="008D676F" w:rsidRDefault="005E1D00" w:rsidP="005E1D00">
      <w:pPr>
        <w:spacing w:line="360" w:lineRule="auto"/>
        <w:rPr>
          <w:noProof/>
          <w:sz w:val="22"/>
        </w:rPr>
      </w:pPr>
    </w:p>
    <w:p w:rsidR="005E1D00" w:rsidRDefault="005E1D00" w:rsidP="005E1D00">
      <w:pPr>
        <w:spacing w:line="360" w:lineRule="auto"/>
        <w:rPr>
          <w:noProof/>
          <w:sz w:val="22"/>
        </w:rPr>
      </w:pPr>
      <w:r>
        <w:rPr>
          <w:noProof/>
          <w:sz w:val="22"/>
          <w:lang w:val="en-GB"/>
        </w:rPr>
        <w:t xml:space="preserve">Further special features include the optional integration of a bypass function and the potential installation of the diaphragm globe valve in a multi-port valve block (GEMÜ M-block). In the bypass version, the angle valve body can be designed with a manually operated bypass or with a pneumatically operated bypass. Both versions allow for easier cleaning and greater flows. </w:t>
      </w:r>
    </w:p>
    <w:p w:rsidR="005E1D00" w:rsidRPr="008D676F" w:rsidRDefault="005E1D00" w:rsidP="005E1D00">
      <w:pPr>
        <w:spacing w:line="360" w:lineRule="auto"/>
        <w:rPr>
          <w:noProof/>
          <w:sz w:val="22"/>
        </w:rPr>
      </w:pPr>
    </w:p>
    <w:p w:rsidR="005E1D00" w:rsidRDefault="005E1D00" w:rsidP="005E1D00">
      <w:pPr>
        <w:spacing w:line="360" w:lineRule="auto"/>
        <w:rPr>
          <w:noProof/>
          <w:sz w:val="22"/>
        </w:rPr>
      </w:pPr>
      <w:r>
        <w:rPr>
          <w:noProof/>
          <w:sz w:val="22"/>
          <w:lang w:val="en-GB"/>
        </w:rPr>
        <w:t>If the GEMÜ 567 BioStar control is integrated into an M-block</w:t>
      </w:r>
      <w:bookmarkStart w:id="0" w:name="_GoBack"/>
      <w:bookmarkEnd w:id="0"/>
      <w:r>
        <w:rPr>
          <w:noProof/>
          <w:sz w:val="22"/>
          <w:lang w:val="en-GB"/>
        </w:rPr>
        <w:t>, several functions can be implemented in the smallest of spaces. In addition, the space requirement is reduced considerably, and the installation and welding effort are reduced.</w:t>
      </w:r>
    </w:p>
    <w:p w:rsidR="005E1D00" w:rsidRPr="008D676F" w:rsidRDefault="005E1D00" w:rsidP="005E1D00">
      <w:pPr>
        <w:spacing w:line="360" w:lineRule="auto"/>
        <w:rPr>
          <w:noProof/>
          <w:sz w:val="22"/>
        </w:rPr>
      </w:pPr>
    </w:p>
    <w:p w:rsidR="005E1D00" w:rsidRPr="008D676F" w:rsidRDefault="005E1D00" w:rsidP="005E1D00">
      <w:pPr>
        <w:shd w:val="clear" w:color="auto" w:fill="FFFFFF"/>
        <w:spacing w:line="336" w:lineRule="auto"/>
        <w:rPr>
          <w:noProof/>
          <w:sz w:val="22"/>
        </w:rPr>
      </w:pPr>
      <w:r>
        <w:rPr>
          <w:noProof/>
          <w:sz w:val="22"/>
          <w:lang w:val="en-GB"/>
        </w:rPr>
        <w:lastRenderedPageBreak/>
        <w:t xml:space="preserve">The valve is also optimally equipped when it comes to hygienic safety: It meets both the standards of the EHEDG cleaning test and the standards in accordance with the American 3A definition. </w:t>
      </w:r>
    </w:p>
    <w:p w:rsidR="005E1D00" w:rsidRPr="008D676F" w:rsidRDefault="005E1D00" w:rsidP="005E1D00">
      <w:pPr>
        <w:shd w:val="clear" w:color="auto" w:fill="FFFFFF"/>
        <w:spacing w:line="336" w:lineRule="auto"/>
        <w:rPr>
          <w:noProof/>
          <w:sz w:val="22"/>
        </w:rPr>
      </w:pPr>
      <w:r>
        <w:rPr>
          <w:noProof/>
          <w:sz w:val="22"/>
          <w:lang w:val="en-GB"/>
        </w:rPr>
        <w:t>The control valve is used, for example, for dosing small quantities in the beverage industry for in-line mixers (for example, for vitamins, dyes and other additives), for controlling sterile steam and air (for example, for DIP processes) or for controlling the inflow and outflow of bioreactors in the pharmaceutical industry</w:t>
      </w:r>
    </w:p>
    <w:p w:rsidR="005E1D00" w:rsidRPr="008D676F" w:rsidRDefault="005E1D00" w:rsidP="005E1D00">
      <w:pPr>
        <w:shd w:val="clear" w:color="auto" w:fill="FFFFFF"/>
        <w:spacing w:line="336" w:lineRule="auto"/>
        <w:rPr>
          <w:noProof/>
          <w:sz w:val="22"/>
        </w:rPr>
      </w:pPr>
    </w:p>
    <w:p w:rsidR="009F089C" w:rsidRPr="0015204D" w:rsidRDefault="005E1D00" w:rsidP="005E1D00">
      <w:pPr>
        <w:spacing w:line="360" w:lineRule="auto"/>
        <w:rPr>
          <w:rFonts w:eastAsia="SimSun"/>
          <w:sz w:val="22"/>
        </w:rPr>
      </w:pPr>
      <w:r>
        <w:rPr>
          <w:noProof/>
          <w:sz w:val="22"/>
          <w:lang w:val="en-GB"/>
        </w:rPr>
        <w:t>The GEMÜ 567 BioStar control is available in the nominal sizes DN 8 to DN 20. The body is manufactured, as standard, from block material with a grade of surface finish of Ra 0.4 µm. In addition to the PTFE diaphragm, another seal made from</w:t>
      </w:r>
      <w:r>
        <w:rPr>
          <w:rFonts w:ascii="Roboto" w:hAnsi="Roboto" w:cs="Arial"/>
          <w:noProof/>
          <w:color w:val="444444"/>
          <w:sz w:val="25"/>
          <w:lang w:val="en-GB"/>
        </w:rPr>
        <w:t xml:space="preserve"> </w:t>
      </w:r>
      <w:r>
        <w:rPr>
          <w:noProof/>
          <w:sz w:val="22"/>
          <w:lang w:val="en-GB"/>
        </w:rPr>
        <w:t>FKM is used. One exception here is the 3A version, for which the complete sealing and control element consists of one piece or material (PTFE).</w:t>
      </w:r>
    </w:p>
    <w:p w:rsidR="008860AD" w:rsidRDefault="008860AD" w:rsidP="008860AD">
      <w:pPr>
        <w:autoSpaceDE w:val="0"/>
        <w:autoSpaceDN w:val="0"/>
        <w:adjustRightInd w:val="0"/>
        <w:spacing w:line="360" w:lineRule="auto"/>
        <w:rPr>
          <w:rFonts w:cs="Arial"/>
          <w:b/>
          <w:sz w:val="22"/>
          <w:szCs w:val="18"/>
          <w:lang w:val="en-US"/>
        </w:rPr>
      </w:pPr>
    </w:p>
    <w:p w:rsidR="008860AD" w:rsidRDefault="008860AD" w:rsidP="008860AD">
      <w:pPr>
        <w:autoSpaceDE w:val="0"/>
        <w:autoSpaceDN w:val="0"/>
        <w:adjustRightInd w:val="0"/>
        <w:spacing w:line="360" w:lineRule="auto"/>
        <w:rPr>
          <w:rFonts w:cs="Arial"/>
          <w:b/>
          <w:sz w:val="22"/>
          <w:szCs w:val="18"/>
          <w:lang w:val="en-US"/>
        </w:rPr>
      </w:pPr>
    </w:p>
    <w:p w:rsidR="008860AD" w:rsidRDefault="008860AD" w:rsidP="008860AD">
      <w:pPr>
        <w:autoSpaceDE w:val="0"/>
        <w:autoSpaceDN w:val="0"/>
        <w:adjustRightInd w:val="0"/>
        <w:spacing w:line="360" w:lineRule="auto"/>
        <w:rPr>
          <w:rFonts w:cs="Arial"/>
          <w:b/>
          <w:sz w:val="22"/>
          <w:szCs w:val="18"/>
          <w:lang w:val="en-US"/>
        </w:rPr>
      </w:pPr>
    </w:p>
    <w:p w:rsidR="005E1D00" w:rsidRDefault="005E1D00" w:rsidP="008860AD">
      <w:pPr>
        <w:autoSpaceDE w:val="0"/>
        <w:autoSpaceDN w:val="0"/>
        <w:adjustRightInd w:val="0"/>
        <w:spacing w:line="360" w:lineRule="auto"/>
        <w:rPr>
          <w:rFonts w:cs="Arial"/>
          <w:b/>
          <w:sz w:val="22"/>
          <w:szCs w:val="18"/>
          <w:lang w:val="en-US"/>
        </w:rPr>
      </w:pPr>
    </w:p>
    <w:p w:rsidR="005E1D00" w:rsidRDefault="005E1D00" w:rsidP="008860AD">
      <w:pPr>
        <w:autoSpaceDE w:val="0"/>
        <w:autoSpaceDN w:val="0"/>
        <w:adjustRightInd w:val="0"/>
        <w:spacing w:line="360" w:lineRule="auto"/>
        <w:rPr>
          <w:rFonts w:cs="Arial"/>
          <w:b/>
          <w:sz w:val="22"/>
          <w:szCs w:val="18"/>
          <w:lang w:val="en-US"/>
        </w:rPr>
      </w:pPr>
    </w:p>
    <w:p w:rsidR="005E1D00" w:rsidRDefault="005E1D00" w:rsidP="008860AD">
      <w:pPr>
        <w:autoSpaceDE w:val="0"/>
        <w:autoSpaceDN w:val="0"/>
        <w:adjustRightInd w:val="0"/>
        <w:spacing w:line="360" w:lineRule="auto"/>
        <w:rPr>
          <w:rFonts w:cs="Arial"/>
          <w:b/>
          <w:sz w:val="22"/>
          <w:szCs w:val="18"/>
          <w:lang w:val="en-US"/>
        </w:rPr>
      </w:pPr>
    </w:p>
    <w:p w:rsidR="005E1D00" w:rsidRDefault="005E1D00" w:rsidP="008860AD">
      <w:pPr>
        <w:autoSpaceDE w:val="0"/>
        <w:autoSpaceDN w:val="0"/>
        <w:adjustRightInd w:val="0"/>
        <w:spacing w:line="360" w:lineRule="auto"/>
        <w:rPr>
          <w:rFonts w:cs="Arial"/>
          <w:b/>
          <w:sz w:val="22"/>
          <w:szCs w:val="18"/>
          <w:lang w:val="en-US"/>
        </w:rPr>
      </w:pPr>
    </w:p>
    <w:p w:rsidR="005E1D00" w:rsidRDefault="005E1D00" w:rsidP="008860AD">
      <w:pPr>
        <w:autoSpaceDE w:val="0"/>
        <w:autoSpaceDN w:val="0"/>
        <w:adjustRightInd w:val="0"/>
        <w:spacing w:line="360" w:lineRule="auto"/>
        <w:rPr>
          <w:rFonts w:cs="Arial"/>
          <w:b/>
          <w:sz w:val="22"/>
          <w:szCs w:val="18"/>
          <w:lang w:val="en-US"/>
        </w:rPr>
      </w:pPr>
    </w:p>
    <w:p w:rsidR="005E1D00" w:rsidRDefault="005E1D00" w:rsidP="008860AD">
      <w:pPr>
        <w:autoSpaceDE w:val="0"/>
        <w:autoSpaceDN w:val="0"/>
        <w:adjustRightInd w:val="0"/>
        <w:spacing w:line="360" w:lineRule="auto"/>
        <w:rPr>
          <w:rFonts w:cs="Arial"/>
          <w:b/>
          <w:sz w:val="22"/>
          <w:szCs w:val="18"/>
          <w:lang w:val="en-US"/>
        </w:rPr>
      </w:pPr>
    </w:p>
    <w:p w:rsidR="002B120B" w:rsidRPr="007C1BD5" w:rsidRDefault="002B120B" w:rsidP="002B120B">
      <w:pPr>
        <w:autoSpaceDE w:val="0"/>
        <w:autoSpaceDN w:val="0"/>
        <w:adjustRightInd w:val="0"/>
        <w:spacing w:line="360" w:lineRule="auto"/>
        <w:rPr>
          <w:rFonts w:cs="Arial"/>
          <w:b/>
          <w:sz w:val="18"/>
          <w:szCs w:val="18"/>
          <w:lang w:val="en-US"/>
        </w:rPr>
      </w:pPr>
      <w:r w:rsidRPr="007C1BD5">
        <w:rPr>
          <w:rFonts w:cs="Arial"/>
          <w:b/>
          <w:sz w:val="18"/>
          <w:szCs w:val="18"/>
          <w:lang w:val="en-US"/>
        </w:rPr>
        <w:t>Background information</w:t>
      </w:r>
    </w:p>
    <w:p w:rsidR="005549B1" w:rsidRPr="005549B1" w:rsidRDefault="005549B1" w:rsidP="005549B1">
      <w:pPr>
        <w:autoSpaceDE w:val="0"/>
        <w:autoSpaceDN w:val="0"/>
        <w:adjustRightInd w:val="0"/>
        <w:spacing w:line="360" w:lineRule="auto"/>
        <w:rPr>
          <w:rFonts w:cs="Arial"/>
          <w:iCs/>
          <w:sz w:val="18"/>
          <w:szCs w:val="18"/>
          <w:lang w:val="en-US"/>
        </w:rPr>
      </w:pPr>
      <w:r w:rsidRPr="005549B1">
        <w:rPr>
          <w:rFonts w:cs="Arial"/>
          <w:sz w:val="18"/>
          <w:szCs w:val="18"/>
          <w:lang w:val="en-US"/>
        </w:rPr>
        <w:t xml:space="preserve">GEMÜ is one of the world's leading manufacturers of valves, measurement and control systems. Over the course of more than 50 years, this globally focused, independent family owned enterprise has established itself in important industrial sectors thanks to its innovative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for process media control. GEMÜ is the world market leader for sterile valve applications in the pharmaceutical and biotechnology industries. </w:t>
      </w:r>
    </w:p>
    <w:p w:rsidR="005549B1" w:rsidRPr="005549B1" w:rsidRDefault="005549B1" w:rsidP="005549B1">
      <w:pPr>
        <w:autoSpaceDE w:val="0"/>
        <w:autoSpaceDN w:val="0"/>
        <w:adjustRightInd w:val="0"/>
        <w:spacing w:line="360" w:lineRule="auto"/>
        <w:rPr>
          <w:rFonts w:cs="Arial"/>
          <w:sz w:val="18"/>
          <w:szCs w:val="18"/>
          <w:lang w:val="en-US"/>
        </w:rPr>
      </w:pPr>
      <w:r w:rsidRPr="005549B1">
        <w:rPr>
          <w:rFonts w:cs="Arial"/>
          <w:sz w:val="18"/>
          <w:szCs w:val="18"/>
          <w:lang w:val="en-US"/>
        </w:rPr>
        <w:t xml:space="preserve">Today, the GEMÜ Group employs </w:t>
      </w:r>
      <w:r w:rsidR="00796322">
        <w:rPr>
          <w:rFonts w:cs="Arial"/>
          <w:sz w:val="18"/>
          <w:szCs w:val="18"/>
          <w:lang w:val="en-US"/>
        </w:rPr>
        <w:t xml:space="preserve">over </w:t>
      </w:r>
      <w:r w:rsidR="00541077">
        <w:rPr>
          <w:rFonts w:cs="Arial"/>
          <w:sz w:val="18"/>
          <w:szCs w:val="18"/>
          <w:lang w:val="en-US"/>
        </w:rPr>
        <w:t>9</w:t>
      </w:r>
      <w:r w:rsidRPr="005549B1">
        <w:rPr>
          <w:rFonts w:cs="Arial"/>
          <w:sz w:val="18"/>
          <w:szCs w:val="18"/>
          <w:lang w:val="en-US"/>
        </w:rPr>
        <w:t>00 employees in Germany and more</w:t>
      </w:r>
      <w:r w:rsidR="00541077">
        <w:rPr>
          <w:rFonts w:cs="Arial"/>
          <w:sz w:val="18"/>
          <w:szCs w:val="18"/>
          <w:lang w:val="en-US"/>
        </w:rPr>
        <w:t xml:space="preserve"> than 16</w:t>
      </w:r>
      <w:r w:rsidRPr="005549B1">
        <w:rPr>
          <w:rFonts w:cs="Arial"/>
          <w:sz w:val="18"/>
          <w:szCs w:val="18"/>
          <w:lang w:val="en-US"/>
        </w:rPr>
        <w:t>00 worldwide. Manufacturing is carried out at six manufacturing sites in Germany, Switzerland, China, Brazil, France and the USA. From Germany we coo</w:t>
      </w:r>
      <w:r w:rsidR="008F0E39">
        <w:rPr>
          <w:rFonts w:cs="Arial"/>
          <w:sz w:val="18"/>
          <w:szCs w:val="18"/>
          <w:lang w:val="en-US"/>
        </w:rPr>
        <w:t>rdinate global marketing with 27</w:t>
      </w:r>
      <w:r w:rsidRPr="005549B1">
        <w:rPr>
          <w:rFonts w:cs="Arial"/>
          <w:sz w:val="18"/>
          <w:szCs w:val="18"/>
          <w:lang w:val="en-US"/>
        </w:rPr>
        <w:t xml:space="preserve"> subsidiaries and with a large distributor network in more than 50 </w:t>
      </w:r>
      <w:proofErr w:type="gramStart"/>
      <w:r w:rsidRPr="005549B1">
        <w:rPr>
          <w:rFonts w:cs="Arial"/>
          <w:sz w:val="18"/>
          <w:szCs w:val="18"/>
          <w:lang w:val="en-US"/>
        </w:rPr>
        <w:t>countries,</w:t>
      </w:r>
      <w:proofErr w:type="gramEnd"/>
      <w:r w:rsidRPr="005549B1">
        <w:rPr>
          <w:rFonts w:cs="Arial"/>
          <w:sz w:val="18"/>
          <w:szCs w:val="18"/>
          <w:lang w:val="en-US"/>
        </w:rPr>
        <w:t xml:space="preserve"> the GEMÜ Group is active on all five continents. GEMÜ will continue to establish itself in future markets with its international growth strategy.</w:t>
      </w:r>
    </w:p>
    <w:p w:rsidR="005549B1" w:rsidRPr="005549B1" w:rsidRDefault="005549B1" w:rsidP="005549B1">
      <w:pPr>
        <w:autoSpaceDE w:val="0"/>
        <w:autoSpaceDN w:val="0"/>
        <w:adjustRightInd w:val="0"/>
        <w:spacing w:line="360" w:lineRule="auto"/>
        <w:rPr>
          <w:rFonts w:cs="Arial"/>
          <w:sz w:val="18"/>
          <w:szCs w:val="18"/>
          <w:lang w:val="en-US"/>
        </w:rPr>
      </w:pPr>
      <w:r w:rsidRPr="005549B1">
        <w:rPr>
          <w:rFonts w:cs="Arial"/>
          <w:sz w:val="18"/>
          <w:szCs w:val="18"/>
          <w:lang w:val="en-US"/>
        </w:rPr>
        <w:t xml:space="preserve">A broad based modular system and adapted automation components mean that </w:t>
      </w:r>
      <w:proofErr w:type="spellStart"/>
      <w:r w:rsidRPr="005549B1">
        <w:rPr>
          <w:rFonts w:cs="Arial"/>
          <w:sz w:val="18"/>
          <w:szCs w:val="18"/>
          <w:lang w:val="en-US"/>
        </w:rPr>
        <w:t>individualised</w:t>
      </w:r>
      <w:proofErr w:type="spellEnd"/>
      <w:r w:rsidRPr="005549B1">
        <w:rPr>
          <w:rFonts w:cs="Arial"/>
          <w:sz w:val="18"/>
          <w:szCs w:val="18"/>
          <w:lang w:val="en-US"/>
        </w:rPr>
        <w:t xml:space="preserve"> standard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can be combined to make over 400,000 product versions.</w:t>
      </w:r>
    </w:p>
    <w:p w:rsidR="003F748A" w:rsidRPr="00DA5BCB" w:rsidRDefault="005549B1" w:rsidP="00DA5BCB">
      <w:pPr>
        <w:autoSpaceDE w:val="0"/>
        <w:autoSpaceDN w:val="0"/>
        <w:adjustRightInd w:val="0"/>
        <w:spacing w:line="360" w:lineRule="auto"/>
        <w:rPr>
          <w:sz w:val="18"/>
          <w:szCs w:val="18"/>
          <w:lang w:val="en-US"/>
        </w:rPr>
      </w:pPr>
      <w:r w:rsidRPr="005549B1">
        <w:rPr>
          <w:sz w:val="18"/>
          <w:szCs w:val="18"/>
          <w:lang w:val="en-US"/>
        </w:rPr>
        <w:t xml:space="preserve">Further information can be found at </w:t>
      </w:r>
      <w:hyperlink r:id="rId10" w:history="1">
        <w:r w:rsidRPr="005549B1">
          <w:rPr>
            <w:rStyle w:val="Hyperlink"/>
            <w:sz w:val="18"/>
            <w:szCs w:val="18"/>
            <w:lang w:val="en-US"/>
          </w:rPr>
          <w:t>www.gemu-group.com</w:t>
        </w:r>
      </w:hyperlink>
      <w:r w:rsidRPr="005549B1">
        <w:rPr>
          <w:sz w:val="18"/>
          <w:szCs w:val="18"/>
          <w:lang w:val="en-US"/>
        </w:rPr>
        <w:t>.</w:t>
      </w:r>
    </w:p>
    <w:sectPr w:rsidR="003F748A" w:rsidRPr="00DA5BCB" w:rsidSect="003B2FE3">
      <w:headerReference w:type="default" r:id="rId11"/>
      <w:footerReference w:type="default" r:id="rId12"/>
      <w:headerReference w:type="first" r:id="rId13"/>
      <w:footerReference w:type="first" r:id="rId1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1E55D8">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1E55D8">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1E55D8">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1E55D8">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Pr>
        <w:b/>
        <w:noProof/>
      </w:rPr>
      <w:drawing>
        <wp:inline distT="0" distB="0" distL="0" distR="0" wp14:anchorId="628B7EF9" wp14:editId="1C930C19">
          <wp:extent cx="1691005" cy="562080"/>
          <wp:effectExtent l="0" t="0" r="444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724113" cy="5730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043D54D" wp14:editId="555AC9FB">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rPr>
                              <w:lang w:val="en-US"/>
                            </w:rPr>
                          </w:pPr>
                          <w:r w:rsidRPr="00A8067B">
                            <w:rPr>
                              <w:lang w:val="en-US"/>
                            </w:rPr>
                            <w:t>Fax: +49 (0) 7940 123-487</w:t>
                          </w:r>
                        </w:p>
                        <w:p w:rsidR="00DF0B01" w:rsidRPr="00A8067B" w:rsidRDefault="00DF0B01" w:rsidP="003B6A50">
                          <w:pPr>
                            <w:pStyle w:val="Kopfzeile"/>
                          </w:pPr>
                          <w:r w:rsidRPr="00A8067B">
                            <w:t xml:space="preserve">E-Mail: </w:t>
                          </w:r>
                          <w:r w:rsidR="000E12DC">
                            <w:t>ivona.jovic</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rPr>
                        <w:lang w:val="en-US"/>
                      </w:rPr>
                    </w:pPr>
                    <w:r w:rsidRPr="00A8067B">
                      <w:rPr>
                        <w:lang w:val="en-US"/>
                      </w:rPr>
                      <w:t>Fax: +49 (0) 7940 123-487</w:t>
                    </w:r>
                  </w:p>
                  <w:p w:rsidR="00DF0B01" w:rsidRPr="00A8067B" w:rsidRDefault="00DF0B01" w:rsidP="003B6A50">
                    <w:pPr>
                      <w:pStyle w:val="Kopfzeile"/>
                    </w:pPr>
                    <w:r w:rsidRPr="00A8067B">
                      <w:t xml:space="preserve">E-Mail: </w:t>
                    </w:r>
                    <w:r w:rsidR="000E12DC">
                      <w:t>ivona.jovic</w:t>
                    </w:r>
                    <w:r w:rsidRPr="00A8067B">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17038850" wp14:editId="7D912EA3">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tab/>
    </w:r>
    <w:r>
      <w:tab/>
    </w:r>
    <w:r>
      <w:tab/>
    </w:r>
    <w:r>
      <w:tab/>
    </w:r>
    <w:r>
      <w:tab/>
    </w:r>
    <w:r>
      <w:tab/>
    </w:r>
    <w:r>
      <w:tab/>
    </w:r>
    <w:r>
      <w:tab/>
      <w:t xml:space="preserve">                                                  </w:t>
    </w:r>
    <w:r>
      <w:rPr>
        <w:noProof/>
      </w:rPr>
      <w:drawing>
        <wp:inline distT="0" distB="0" distL="0" distR="0" wp14:anchorId="45B731A7" wp14:editId="1FF8B90C">
          <wp:extent cx="1656272" cy="550535"/>
          <wp:effectExtent l="0" t="0" r="127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663989" cy="55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6"/>
    <w:rsid w:val="0000750A"/>
    <w:rsid w:val="000460C8"/>
    <w:rsid w:val="00050DB0"/>
    <w:rsid w:val="00092213"/>
    <w:rsid w:val="000B788E"/>
    <w:rsid w:val="000E12DC"/>
    <w:rsid w:val="000F0D01"/>
    <w:rsid w:val="0010051D"/>
    <w:rsid w:val="00130D38"/>
    <w:rsid w:val="001515AC"/>
    <w:rsid w:val="00154CF8"/>
    <w:rsid w:val="001652F1"/>
    <w:rsid w:val="00165612"/>
    <w:rsid w:val="001746C4"/>
    <w:rsid w:val="00181F6B"/>
    <w:rsid w:val="001854C6"/>
    <w:rsid w:val="001976BD"/>
    <w:rsid w:val="001A02BE"/>
    <w:rsid w:val="001E55D8"/>
    <w:rsid w:val="001F49B8"/>
    <w:rsid w:val="001F7B46"/>
    <w:rsid w:val="00202265"/>
    <w:rsid w:val="0021145E"/>
    <w:rsid w:val="00213155"/>
    <w:rsid w:val="00232566"/>
    <w:rsid w:val="0023585A"/>
    <w:rsid w:val="00235AEA"/>
    <w:rsid w:val="00236275"/>
    <w:rsid w:val="002429B4"/>
    <w:rsid w:val="00251978"/>
    <w:rsid w:val="00294B5A"/>
    <w:rsid w:val="002A0855"/>
    <w:rsid w:val="002A204C"/>
    <w:rsid w:val="002B120B"/>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F2139"/>
    <w:rsid w:val="003F748A"/>
    <w:rsid w:val="00401E5B"/>
    <w:rsid w:val="0041214D"/>
    <w:rsid w:val="004138C6"/>
    <w:rsid w:val="00416142"/>
    <w:rsid w:val="004205AD"/>
    <w:rsid w:val="004673E1"/>
    <w:rsid w:val="0049316D"/>
    <w:rsid w:val="00495A0D"/>
    <w:rsid w:val="004A01E1"/>
    <w:rsid w:val="004A5F7D"/>
    <w:rsid w:val="004C52F6"/>
    <w:rsid w:val="004C6A28"/>
    <w:rsid w:val="005137A3"/>
    <w:rsid w:val="0051628F"/>
    <w:rsid w:val="00517635"/>
    <w:rsid w:val="00523FC0"/>
    <w:rsid w:val="00541077"/>
    <w:rsid w:val="00546804"/>
    <w:rsid w:val="00552C4E"/>
    <w:rsid w:val="005549B1"/>
    <w:rsid w:val="005645ED"/>
    <w:rsid w:val="00566FB5"/>
    <w:rsid w:val="00574C6D"/>
    <w:rsid w:val="005B5508"/>
    <w:rsid w:val="005B622D"/>
    <w:rsid w:val="005B77BA"/>
    <w:rsid w:val="005E1D00"/>
    <w:rsid w:val="005E571A"/>
    <w:rsid w:val="005E75E6"/>
    <w:rsid w:val="005E7988"/>
    <w:rsid w:val="005F1067"/>
    <w:rsid w:val="00604EEF"/>
    <w:rsid w:val="00650358"/>
    <w:rsid w:val="00652C2D"/>
    <w:rsid w:val="00656F6C"/>
    <w:rsid w:val="0069406E"/>
    <w:rsid w:val="0069627D"/>
    <w:rsid w:val="00697EFD"/>
    <w:rsid w:val="006A393C"/>
    <w:rsid w:val="006B12C6"/>
    <w:rsid w:val="006D5431"/>
    <w:rsid w:val="006E41C5"/>
    <w:rsid w:val="00731EB5"/>
    <w:rsid w:val="00734B9D"/>
    <w:rsid w:val="00747743"/>
    <w:rsid w:val="00753936"/>
    <w:rsid w:val="00766A2D"/>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725F"/>
    <w:rsid w:val="009D061B"/>
    <w:rsid w:val="009D220E"/>
    <w:rsid w:val="009E0140"/>
    <w:rsid w:val="009E13CF"/>
    <w:rsid w:val="009F089C"/>
    <w:rsid w:val="00A01290"/>
    <w:rsid w:val="00A039F4"/>
    <w:rsid w:val="00A10CE8"/>
    <w:rsid w:val="00A11BEC"/>
    <w:rsid w:val="00A14AE6"/>
    <w:rsid w:val="00A275BA"/>
    <w:rsid w:val="00A42B3F"/>
    <w:rsid w:val="00A65266"/>
    <w:rsid w:val="00A70AB5"/>
    <w:rsid w:val="00A8067B"/>
    <w:rsid w:val="00A84F3C"/>
    <w:rsid w:val="00A84F75"/>
    <w:rsid w:val="00A9074D"/>
    <w:rsid w:val="00A920CC"/>
    <w:rsid w:val="00A9268D"/>
    <w:rsid w:val="00A92F2C"/>
    <w:rsid w:val="00A94614"/>
    <w:rsid w:val="00AA0D1C"/>
    <w:rsid w:val="00AA3CFB"/>
    <w:rsid w:val="00AB4A32"/>
    <w:rsid w:val="00AE3BEC"/>
    <w:rsid w:val="00AE4759"/>
    <w:rsid w:val="00AF65F0"/>
    <w:rsid w:val="00B17BF6"/>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C0271"/>
    <w:rsid w:val="00CC1849"/>
    <w:rsid w:val="00CE0856"/>
    <w:rsid w:val="00CE54FD"/>
    <w:rsid w:val="00D251F2"/>
    <w:rsid w:val="00D619B7"/>
    <w:rsid w:val="00D92FED"/>
    <w:rsid w:val="00DA55EA"/>
    <w:rsid w:val="00DA5BCB"/>
    <w:rsid w:val="00DB2188"/>
    <w:rsid w:val="00DB52D9"/>
    <w:rsid w:val="00DC0DEF"/>
    <w:rsid w:val="00DC35B3"/>
    <w:rsid w:val="00DD60B0"/>
    <w:rsid w:val="00DE7E33"/>
    <w:rsid w:val="00DF0B01"/>
    <w:rsid w:val="00E233F6"/>
    <w:rsid w:val="00E70F64"/>
    <w:rsid w:val="00E76A3E"/>
    <w:rsid w:val="00E77CB9"/>
    <w:rsid w:val="00E867C7"/>
    <w:rsid w:val="00EF5A6D"/>
    <w:rsid w:val="00EF7DC5"/>
    <w:rsid w:val="00F01865"/>
    <w:rsid w:val="00F40475"/>
    <w:rsid w:val="00F40C82"/>
    <w:rsid w:val="00F47E6A"/>
    <w:rsid w:val="00F5056A"/>
    <w:rsid w:val="00F517FE"/>
    <w:rsid w:val="00F5297A"/>
    <w:rsid w:val="00F631D9"/>
    <w:rsid w:val="00F959FC"/>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1999-CA71-4448-B9C3-12F71D00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8</cp:revision>
  <cp:lastPrinted>2014-02-04T12:04:00Z</cp:lastPrinted>
  <dcterms:created xsi:type="dcterms:W3CDTF">2017-04-05T12:00:00Z</dcterms:created>
  <dcterms:modified xsi:type="dcterms:W3CDTF">2017-07-14T08:30:00Z</dcterms:modified>
</cp:coreProperties>
</file>