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55FCE">
      <w:pPr>
        <w:pStyle w:val="Untertitel"/>
        <w:tabs>
          <w:tab w:val="left" w:pos="8504"/>
        </w:tabs>
        <w:rPr>
          <w:sz w:val="22"/>
        </w:rPr>
      </w:pPr>
    </w:p>
    <w:p w:rsidR="00A84F3C" w:rsidRPr="00697EFD" w:rsidRDefault="00A84F3C" w:rsidP="00A84F3C">
      <w:pPr>
        <w:pStyle w:val="Kopfzeile"/>
        <w:tabs>
          <w:tab w:val="clear" w:pos="4536"/>
          <w:tab w:val="clear" w:pos="9072"/>
        </w:tabs>
        <w:rPr>
          <w:sz w:val="22"/>
        </w:rPr>
      </w:pPr>
    </w:p>
    <w:p w:rsidR="00DA168C" w:rsidRDefault="00DA168C" w:rsidP="00DA168C">
      <w:pPr>
        <w:rPr>
          <w:rFonts w:eastAsia="HelveticaWorld-Regular" w:cs="Arial"/>
          <w:b/>
          <w:color w:val="000000"/>
          <w:sz w:val="24"/>
          <w:szCs w:val="24"/>
        </w:rPr>
      </w:pPr>
      <w:r>
        <w:rPr>
          <w:lang w:val="es-ES"/>
          <w:rFonts w:ascii="Arial" w:cs="Arial" w:eastAsia="HelveticaWorld-Regular" w:hAnsi="Arial"/>
          <w:b w:val="on"/>
          <w:color w:val="000000"/>
          <w:sz w:val="24"/>
        </w:rPr>
        <w:t xml:space="preserve">Tecnología probada para zonas ATEX</w:t>
      </w:r>
    </w:p>
    <w:p w:rsidR="00DA168C" w:rsidRDefault="00DA168C" w:rsidP="00DA168C">
      <w:pPr>
        <w:rPr>
          <w:rFonts w:eastAsia="HelveticaWorld-Regular" w:cs="Arial"/>
          <w:b/>
          <w:color w:val="000000"/>
          <w:sz w:val="24"/>
          <w:szCs w:val="24"/>
        </w:rPr>
      </w:pPr>
    </w:p>
    <w:p w:rsidR="00DA168C" w:rsidRDefault="00DA168C" w:rsidP="00DA168C">
      <w:pPr>
        <w:rPr>
          <w:rFonts w:eastAsia="HelveticaWorld-Regular" w:cs="Arial"/>
          <w:b/>
          <w:color w:val="000000"/>
        </w:rPr>
      </w:pPr>
      <w:r>
        <w:rPr>
          <w:lang w:val="es-ES"/>
          <w:rFonts w:ascii="Arial" w:cs="Arial" w:eastAsia="HelveticaWorld-Regular" w:hAnsi="Arial"/>
          <w:b w:val="on"/>
          <w:color w:val="000000"/>
          <w:sz w:val="20"/>
        </w:rPr>
        <w:t xml:space="preserve">El indicador eléctrico de posición con encapsulamiento a prueba de presión GEMÜ 1205 apuesta por el uso de tecnología probada en condiciones ambientales exigentes.</w:t>
      </w:r>
    </w:p>
    <w:p w:rsidR="00DA168C" w:rsidRDefault="00DA168C" w:rsidP="00DA168C">
      <w:pPr>
        <w:rPr>
          <w:rFonts w:eastAsia="HelveticaWorld-Regular" w:cs="Arial"/>
          <w:b/>
          <w:color w:val="000000"/>
        </w:rPr>
      </w:pPr>
    </w:p>
    <w:p w:rsidR="00DA168C" w:rsidRDefault="00DA168C" w:rsidP="00DA168C">
      <w:pPr>
        <w:rPr>
          <w:rFonts w:eastAsia="HelveticaWorld-Regular" w:cs="Arial"/>
          <w:color w:val="000000"/>
        </w:rPr>
      </w:pPr>
      <w:r>
        <w:rPr>
          <w:lang w:val="es-ES"/>
          <w:rFonts w:ascii="Arial" w:cs="Arial" w:eastAsia="HelveticaWorld-Regular" w:hAnsi="Arial"/>
          <w:color w:val="000000"/>
          <w:sz w:val="20"/>
        </w:rPr>
        <w:t xml:space="preserve">Con el nuevo modelo del indicador de posición GEMÜ 1205 para actuadores lineales, desarrollado especialmente para la utilización en zonas ATEX, la compañía de Ingelfingen especializada en válvulas apuesta por una construcción orientada al uso con tecnología probada. El indicador cuenta con un diseño robusto, un cuerpo de aluminio encapsulado a prueba de presión y protección contra ignición «de seguridad aumentada». Además, todos los componentes internos móviles están diseñados para ofrecer una vida útil mecánica prolongada. </w:t>
      </w:r>
    </w:p>
    <w:p w:rsidR="00BB2284" w:rsidRDefault="00BB2284" w:rsidP="00DA168C">
      <w:pPr>
        <w:rPr>
          <w:rFonts w:eastAsia="HelveticaWorld-Regular" w:cs="Arial"/>
          <w:color w:val="000000"/>
        </w:rPr>
      </w:pPr>
    </w:p>
    <w:p w:rsidR="00DA168C" w:rsidRDefault="00DA168C" w:rsidP="00DA168C">
      <w:pPr>
        <w:rPr>
          <w:rFonts w:eastAsia="HelveticaWorld-Regular" w:cs="Arial"/>
          <w:color w:val="000000"/>
        </w:rPr>
      </w:pPr>
      <w:r>
        <w:rPr>
          <w:lang w:val="es-ES"/>
          <w:rFonts w:ascii="Arial" w:cs="Arial" w:eastAsia="HelveticaWorld-Regular" w:hAnsi="Arial"/>
          <w:color w:val="000000"/>
          <w:sz w:val="20"/>
        </w:rPr>
        <w:t xml:space="preserve">Para registrar las posiciones finales, el indicador de posición GEMÜ 1205 dispone de microinterruptores de ajuste sin posiciones, de forma que se puede consultar de forma fiable la posición cerrada o abierta de una carrera de válvula de 2 mm a 70 mm.</w:t>
      </w:r>
    </w:p>
    <w:p w:rsidR="00DA168C" w:rsidRDefault="00DA168C" w:rsidP="00DA168C">
      <w:pPr>
        <w:rPr>
          <w:rFonts w:eastAsia="HelveticaWorld-Regular" w:cs="Arial"/>
          <w:color w:val="000000"/>
        </w:rPr>
      </w:pPr>
      <w:r>
        <w:rPr>
          <w:lang w:val="es-ES"/>
          <w:rFonts w:ascii="Arial" w:cs="Arial" w:eastAsia="HelveticaWorld-Regular" w:hAnsi="Arial"/>
          <w:color w:val="000000"/>
          <w:sz w:val="20"/>
        </w:rPr>
        <w:t xml:space="preserve">El indicador de posición está concebido para aplicaciones exigentes </w:t>
      </w:r>
      <w:r>
        <w:rPr>
          <w:lang w:val="es-ES"/>
          <w:rFonts w:ascii="Arial" w:cs="Arial" w:eastAsia="Times New Roman" w:hAnsi="Arial"/>
          <w:sz w:val="20"/>
        </w:rPr>
        <w:t xml:space="preserve">en zonas ATEX de la categoría 2, zona 1 o zona 21, </w:t>
      </w:r>
      <w:r>
        <w:rPr>
          <w:lang w:val="es-ES"/>
          <w:rFonts w:ascii="Arial" w:cs="Arial" w:eastAsia="HelveticaWorld-Regular" w:hAnsi="Arial"/>
          <w:color w:val="000000"/>
          <w:sz w:val="20"/>
        </w:rPr>
        <w:t xml:space="preserve">así como para la utilización a bajas temperaturas de hasta -20 °C.</w:t>
      </w:r>
    </w:p>
    <w:p w:rsidR="00690769" w:rsidRDefault="00690769" w:rsidP="00690769">
      <w:pPr>
        <w:spacing w:line="360" w:lineRule="auto"/>
        <w:rPr>
          <w:rFonts w:cs="Arial"/>
          <w:sz w:val="22"/>
          <w:szCs w:val="22"/>
        </w:rPr>
      </w:pPr>
    </w:p>
    <w:p w:rsidR="00DA168C" w:rsidRDefault="00DA168C" w:rsidP="00690769">
      <w:pPr>
        <w:spacing w:line="360" w:lineRule="auto"/>
        <w:rPr>
          <w:rFonts w:cs="Arial"/>
          <w:sz w:val="22"/>
          <w:szCs w:val="22"/>
        </w:rPr>
      </w:pPr>
    </w:p>
    <w:p w:rsidR="00DA168C" w:rsidRPr="00653508" w:rsidRDefault="00DA168C" w:rsidP="00690769">
      <w:pPr>
        <w:spacing w:line="360" w:lineRule="auto"/>
        <w:rPr>
          <w:rFonts w:cs="Arial"/>
          <w:sz w:val="22"/>
          <w:szCs w:val="22"/>
        </w:rPr>
      </w:pPr>
    </w:p>
    <w:sectPr w:rsidR="00DA168C" w:rsidRPr="00653508" w:rsidSect="00690769">
      <w:headerReference w:type="default" r:id="rId8"/>
      <w:headerReference w:type="first" r:id="rId9"/>
      <w:footerReference w:type="firs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466450" w:rsidRDefault="00466450">
      <w:r>
        <w:separator/>
      </w:r>
    </w:p>
  </w:endnote>
  <w:endnote w:type="continuationSeparator" w:id="0">
    <w:p w:rsidR="00466450" w:rsidRDefault="004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World-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3B6A50">
    <w:pPr>
      <w:pStyle w:val="Fuzeile"/>
      <w:spacing w:line="240" w:lineRule="auto"/>
    </w:pPr>
    <w:r>
      <w:rPr>
        <w:lang w:val="es-ES"/>
        <w:rFonts w:ascii="Arial" w:cs="Times New Roman" w:eastAsia="Times New Roman" w:hAnsi="Arial"/>
        <w:sz w:val="14"/>
      </w:rPr>
      <w:t xml:space="preserve">GEMÜ Gebr. Müller Apparatebau GmbH </w:t>
    </w:r>
    <w:r>
      <w:rPr>
        <w:lang w:val="es-ES"/>
        <w:rFonts w:ascii="Arial" w:cs="Times New Roman" w:eastAsia="Times New Roman" w:hAnsi="Arial"/>
        <w:sz w:val="14"/>
      </w:rPr>
      <w:t xml:space="preserve">&amp; Co. KG • Fritz-Müller-Str. 6-8 • D-74653 Ingelfingen</w:t>
    </w:r>
    <w:r>
      <w:rPr>
        <w:lang w:val="es-ES"/>
        <w:rFonts w:ascii="Arial" w:cs="Times New Roman" w:eastAsia="Times New Roman" w:hAnsi="Arial"/>
        <w:sz w:val="14"/>
      </w:rPr>
      <w:tab/>
    </w:r>
    <w:r>
      <w:rPr>
        <w:lang w:val="es-ES"/>
        <w:rFonts w:ascii="Arial" w:cs="Times New Roman" w:eastAsia="Times New Roman" w:hAnsi="Arial"/>
        <w:sz w:val="14"/>
      </w:rPr>
      <w:t xml:space="preserve">página </w:t>
    </w:r>
    <w:r>
      <w:fldChar w:fldCharType="begin"/>
    </w:r>
    <w:r>
      <w:instrText>PAGE  \* Arabic  \* MERGEFORMAT</w:instrText>
    </w:r>
    <w:r>
      <w:fldChar w:fldCharType="separate"/>
    </w:r>
    <w:r>
      <w:rPr>
        <w:noProof/>
      </w:rPr>
      <w:t>1</w:t>
    </w:r>
    <w:r>
      <w:fldChar w:fldCharType="end"/>
    </w:r>
    <w:r>
      <w:rPr>
        <w:lang w:val="es-ES"/>
        <w:rFonts w:ascii="Arial" w:cs="Times New Roman" w:eastAsia="Times New Roman" w:hAnsi="Arial"/>
        <w:sz w:val="14"/>
      </w:rPr>
      <w:t xml:space="preserve"> de </w:t>
    </w:r>
    <w:r w:rsidR="0004798F">
      <w:fldChar w:fldCharType="begin"/>
    </w:r>
    <w:r w:rsidR="0004798F">
      <w:instrText>NUMPAGES  \* Arabic  \* MERGEFORMAT</w:instrText>
    </w:r>
    <w:r w:rsidR="0004798F">
      <w:fldChar w:fldCharType="separate"/>
    </w:r>
    <w:r>
      <w:rPr>
        <w:noProof/>
      </w:rPr>
      <w:t>2</w:t>
    </w:r>
    <w:r w:rsidR="0004798F">
      <w:rPr>
        <w:noProof/>
      </w:rPr>
      <w:fldChar w:fldCharType="end"/>
    </w:r>
  </w:p>
  <w:p w:rsidR="00466450" w:rsidRPr="00CD215A" w:rsidRDefault="00466450" w:rsidP="003B6A50">
    <w:pPr>
      <w:pStyle w:val="Webseite"/>
      <w:rPr>
        <w:color w:val="auto"/>
        <w:lang w:val="es-ES"/>
      </w:rPr>
    </w:pPr>
    <w:r>
      <w:rPr>
        <w:lang w:val="es-ES"/>
        <w:rFonts w:ascii="Arial" w:cs="Times New Roman" w:eastAsia="Times New Roman" w:hAnsi="Arial"/>
        <w:color w:val="auto"/>
        <w:sz w:val="14"/>
      </w:rPr>
      <w:t xml:space="preserve">Tel.: +49 (0) 7940 123-0 • Fax: +49 (0) 7940 123-192</w:t>
    </w:r>
  </w:p>
  <w:p w:rsidR="00466450" w:rsidRPr="00CD215A" w:rsidRDefault="00466450" w:rsidP="003B6A50">
    <w:pPr>
      <w:pStyle w:val="Webseite"/>
      <w:rPr>
        <w:color w:val="FF0000"/>
        <w:lang w:val="es-ES"/>
      </w:rPr>
    </w:pPr>
    <w:r>
      <w:rPr>
        <w:lang w:val="es-ES"/>
        <w:rFonts w:ascii="Arial" w:cs="Times New Roman" w:eastAsia="Times New Roman" w:hAnsi="Arial"/>
        <w:color w:val="FF0000"/>
        <w:sz w:val="14"/>
      </w:rPr>
      <w:t xml:space="preserve">www.gemu-group.com</w:t>
    </w:r>
  </w:p>
  <w:p w:rsidR="00466450" w:rsidRPr="00CD215A" w:rsidRDefault="00466450" w:rsidP="003B6A50">
    <w:pPr>
      <w:pStyle w:val="Webseite"/>
      <w:rPr>
        <w:color w:val="A6A6A6" w:themeColor="background1" w:themeShade="A6"/>
        <w:sz w:val="12"/>
        <w:szCs w:val="12"/>
        <w:lang w:val="es-ES"/>
      </w:rPr>
    </w:pPr>
  </w:p>
  <w:p w:rsidR="00466450" w:rsidRPr="0041214D" w:rsidRDefault="00466450" w:rsidP="003B6A50">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Sociedad en comandita: Domicilio social 74653 Ingelfingen, tribunal de registro de Stuttgart HRA 590394; socio colectivo: Gebr. Müller GmbH, domicilio social 74653 Ingelfingen, tribunal de registro de Stuttgart HRB 590215</w:t>
    </w:r>
  </w:p>
  <w:p w:rsidR="00466450" w:rsidRPr="0041214D" w:rsidRDefault="00466450" w:rsidP="003B6A50">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Directores gerentes: Fritz Müller, Gert Müller, Stephan Müller</w:t>
    </w:r>
  </w:p>
  <w:p w:rsidR="00466450" w:rsidRPr="0041214D" w:rsidRDefault="00466450" w:rsidP="003B6A50">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NIF-IVA: DE 146281082 • CIF: 76050/04341</w:t>
    </w:r>
  </w:p>
  <w:p w:rsidR="00466450" w:rsidRDefault="004664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466450" w:rsidRDefault="00466450">
      <w:r>
        <w:separator/>
      </w:r>
    </w:p>
  </w:footnote>
  <w:footnote w:type="continuationSeparator" w:id="0">
    <w:p w:rsidR="00466450" w:rsidRDefault="0046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8F1259">
    <w:pPr>
      <w:pStyle w:val="Kopfzeile"/>
      <w:tabs>
        <w:tab w:val="clear" w:pos="9072"/>
      </w:tabs>
      <w:ind w:right="-186"/>
      <w:jc w:val="right"/>
    </w:pPr>
  </w:p>
  <w:p w:rsidR="00466450" w:rsidRDefault="00466450" w:rsidP="00D251F2">
    <w:pPr>
      <w:pStyle w:val="Kopfzeile"/>
      <w:tabs>
        <w:tab w:val="clear" w:pos="9072"/>
      </w:tabs>
      <w:ind w:right="-3288"/>
      <w:rPr>
        <w:b/>
      </w:rPr>
    </w:pP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 xml:space="preserve">              </w:t>
    </w:r>
  </w:p>
  <w:p w:rsidR="00466450" w:rsidRDefault="00466450" w:rsidP="00D251F2">
    <w:pPr>
      <w:pStyle w:val="Kopfzeile"/>
      <w:tabs>
        <w:tab w:val="clear" w:pos="9072"/>
      </w:tabs>
      <w:ind w:right="-3288"/>
      <w:rPr>
        <w:b/>
      </w:rPr>
    </w:pPr>
  </w:p>
  <w:p w:rsidR="00466450" w:rsidRDefault="00466450" w:rsidP="00D251F2">
    <w:pPr>
      <w:pStyle w:val="Kopfzeile"/>
      <w:tabs>
        <w:tab w:val="clear" w:pos="9072"/>
      </w:tabs>
      <w:ind w:right="-3288"/>
      <w:rPr>
        <w:b/>
      </w:rPr>
    </w:pPr>
  </w:p>
  <w:p w:rsidR="00466450" w:rsidRPr="00BC617B" w:rsidRDefault="00466450" w:rsidP="00D251F2">
    <w:pPr>
      <w:pStyle w:val="Kopfzeile"/>
      <w:tabs>
        <w:tab w:val="clear" w:pos="9072"/>
      </w:tabs>
      <w:ind w:right="-328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BA7E08">
    <w:pPr>
      <w:pStyle w:val="Kopfzeile"/>
      <w:tabs>
        <w:tab w:val="clear" w:pos="9072"/>
        <w:tab w:val="right" w:pos="7088"/>
      </w:tabs>
    </w:pP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4798F"/>
    <w:rsid w:val="00050DB0"/>
    <w:rsid w:val="00054CE7"/>
    <w:rsid w:val="00073ACD"/>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064F"/>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6450"/>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5341E"/>
    <w:rsid w:val="00571FB7"/>
    <w:rsid w:val="0057388F"/>
    <w:rsid w:val="00574C6D"/>
    <w:rsid w:val="005B5508"/>
    <w:rsid w:val="005B622D"/>
    <w:rsid w:val="005D2037"/>
    <w:rsid w:val="005E571A"/>
    <w:rsid w:val="005E75E6"/>
    <w:rsid w:val="005E7988"/>
    <w:rsid w:val="005F1067"/>
    <w:rsid w:val="00637169"/>
    <w:rsid w:val="00642478"/>
    <w:rsid w:val="00650358"/>
    <w:rsid w:val="00651E92"/>
    <w:rsid w:val="00655FCE"/>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B2284"/>
    <w:rsid w:val="00BC617B"/>
    <w:rsid w:val="00BE0C8C"/>
    <w:rsid w:val="00BE6478"/>
    <w:rsid w:val="00C1306E"/>
    <w:rsid w:val="00C266DB"/>
    <w:rsid w:val="00C41618"/>
    <w:rsid w:val="00C44B03"/>
    <w:rsid w:val="00C5559A"/>
    <w:rsid w:val="00C641DF"/>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A168C"/>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B0AF4"/>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s-ES"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4175552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E5EC060-E5B9-4EE4-B312-A52556B1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139</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Meißner, Ivona</cp:lastModifiedBy>
  <cp:revision>14</cp:revision>
  <cp:lastPrinted>2014-04-15T08:09:00Z</cp:lastPrinted>
  <dcterms:created xsi:type="dcterms:W3CDTF">2018-05-07T11:18:00Z</dcterms:created>
  <dcterms:modified xsi:type="dcterms:W3CDTF">2019-01-07T07:29:00Z</dcterms:modified>
</cp:coreProperties>
</file>