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A84F3C" w:rsidRPr="00697EFD" w:rsidRDefault="00A84F3C" w:rsidP="00655FCE">
      <w:pPr>
        <w:pStyle w:val="Untertitel"/>
        <w:tabs>
          <w:tab w:val="left" w:pos="8504"/>
        </w:tabs>
        <w:rPr>
          <w:sz w:val="22"/>
        </w:rPr>
      </w:pPr>
    </w:p>
    <w:p w:rsidR="00A84F3C" w:rsidRPr="00697EFD" w:rsidRDefault="00A84F3C" w:rsidP="00A84F3C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:rsidR="00DA168C" w:rsidRDefault="00DA168C" w:rsidP="00DA168C">
      <w:pPr>
        <w:rPr>
          <w:rFonts w:eastAsia="HelveticaWorld-Regular" w:cs="Arial"/>
          <w:b/>
          <w:color w:val="000000"/>
          <w:sz w:val="24"/>
          <w:szCs w:val="24"/>
        </w:rPr>
      </w:pPr>
      <w:r>
        <w:rPr>
          <w:lang w:val="pt-BR"/>
          <w:rFonts w:ascii="Arial" w:cs="Arial" w:eastAsia="HelveticaWorld-Regular" w:hAnsi="Arial"/>
          <w:b w:val="on"/>
          <w:color w:val="000000"/>
          <w:sz w:val="24"/>
        </w:rPr>
        <w:t xml:space="preserve">Tecnologia testada para áreas ATEX</w:t>
      </w:r>
    </w:p>
    <w:p w:rsidR="00DA168C" w:rsidRDefault="00DA168C" w:rsidP="00DA168C">
      <w:pPr>
        <w:rPr>
          <w:rFonts w:eastAsia="HelveticaWorld-Regular" w:cs="Arial"/>
          <w:b/>
          <w:color w:val="000000"/>
          <w:sz w:val="24"/>
          <w:szCs w:val="24"/>
        </w:rPr>
      </w:pPr>
    </w:p>
    <w:p w:rsidR="00DA168C" w:rsidRDefault="00DA168C" w:rsidP="00DA168C">
      <w:pPr>
        <w:rPr>
          <w:rFonts w:eastAsia="HelveticaWorld-Regular" w:cs="Arial"/>
          <w:b/>
          <w:color w:val="000000"/>
        </w:rPr>
      </w:pPr>
      <w:r>
        <w:rPr>
          <w:lang w:val="pt-BR"/>
          <w:rFonts w:ascii="Arial" w:cs="Arial" w:eastAsia="HelveticaWorld-Regular" w:hAnsi="Arial"/>
          <w:b w:val="on"/>
          <w:color w:val="000000"/>
          <w:sz w:val="20"/>
        </w:rPr>
        <w:t xml:space="preserve">O indicador elétrico de posição encapsulado à prova de pressão GEMÜ 1205 aposta na tecnologia testada para a utilização em condições ambientais exigentes.</w:t>
      </w:r>
    </w:p>
    <w:p w:rsidR="00DA168C" w:rsidRDefault="00DA168C" w:rsidP="00DA168C">
      <w:pPr>
        <w:rPr>
          <w:rFonts w:eastAsia="HelveticaWorld-Regular" w:cs="Arial"/>
          <w:b/>
          <w:color w:val="000000"/>
        </w:rPr>
      </w:pPr>
    </w:p>
    <w:p w:rsidR="00DA168C" w:rsidRDefault="00DA168C" w:rsidP="00DA168C">
      <w:pPr>
        <w:rPr>
          <w:rFonts w:eastAsia="HelveticaWorld-Regular" w:cs="Arial"/>
          <w:color w:val="000000"/>
        </w:rPr>
      </w:pPr>
      <w:r>
        <w:rPr>
          <w:lang w:val="pt-BR"/>
          <w:rFonts w:ascii="Arial" w:cs="Arial" w:eastAsia="HelveticaWorld-Regular" w:hAnsi="Arial"/>
          <w:color w:val="000000"/>
          <w:sz w:val="20"/>
        </w:rPr>
        <w:t xml:space="preserve">Com a nova versão do indicador elétrico de posição GEMÜ 1205 para atuadores lineares, especialmente desenvolvido para áreas ATEX, o especialista em válvulas da cidade de Ingelfingen aposta na construção orientada a sua aplicação utilizando a tecnologia testada. O fim de curso apresenta um projeto robusto em combinação com um corpo em alumínio, encapsulado à prova de pressão, e do tipo de proteção contra ignição </w:t>
      </w:r>
      <w:r>
        <w:rPr>
          <w:lang w:val="pt-BR"/>
          <w:rFonts w:ascii="Arial" w:cs="Arial" w:eastAsia="HelveticaWorld-Regular" w:hAnsi="Arial"/>
          <w:color w:val="000000"/>
          <w:sz w:val="20"/>
        </w:rPr>
        <w:t xml:space="preserve">"elevada segurança</w:t>
      </w:r>
      <w:r>
        <w:rPr>
          <w:lang w:val="pt-BR"/>
          <w:rFonts w:ascii="Arial" w:cs="Arial" w:eastAsia="HelveticaWorld-Regular" w:hAnsi="Arial"/>
          <w:color w:val="000000"/>
          <w:sz w:val="20"/>
        </w:rPr>
        <w:t xml:space="preserve">". Além disso, todos os componentes móveis no interior foram concebidos para uma longa vida útil mecânica. </w:t>
      </w:r>
    </w:p>
    <w:p w:rsidR="00BB2284" w:rsidRDefault="00BB2284" w:rsidP="00DA168C">
      <w:pPr>
        <w:rPr>
          <w:rFonts w:eastAsia="HelveticaWorld-Regular" w:cs="Arial"/>
          <w:color w:val="000000"/>
        </w:rPr>
      </w:pPr>
    </w:p>
    <w:p w:rsidR="00DA168C" w:rsidRDefault="00DA168C" w:rsidP="00DA168C">
      <w:pPr>
        <w:rPr>
          <w:rFonts w:eastAsia="HelveticaWorld-Regular" w:cs="Arial"/>
          <w:color w:val="000000"/>
        </w:rPr>
      </w:pPr>
      <w:r>
        <w:rPr>
          <w:lang w:val="pt-BR"/>
          <w:rFonts w:ascii="Arial" w:cs="Arial" w:eastAsia="HelveticaWorld-Regular" w:hAnsi="Arial"/>
          <w:color w:val="000000"/>
          <w:sz w:val="20"/>
        </w:rPr>
        <w:t xml:space="preserve">O indicador elétrico de posição GEMÜ 1205 é equipado com um microswitch continuamente ajustável para registro das posições finais. Assim, é possível consultar confiavelmente a posição fechada e/ou aberta a um curso da válvula de 2-70 mm.</w:t>
      </w:r>
    </w:p>
    <w:p w:rsidR="00DA168C" w:rsidRDefault="00DA168C" w:rsidP="00DA168C">
      <w:pPr>
        <w:rPr>
          <w:rFonts w:eastAsia="HelveticaWorld-Regular" w:cs="Arial"/>
          <w:color w:val="000000"/>
        </w:rPr>
      </w:pPr>
      <w:r>
        <w:rPr>
          <w:lang w:val="pt-BR"/>
          <w:rFonts w:ascii="Arial" w:cs="Arial" w:eastAsia="HelveticaWorld-Regular" w:hAnsi="Arial"/>
          <w:color w:val="000000"/>
          <w:sz w:val="20"/>
        </w:rPr>
        <w:t xml:space="preserve">O indicador elétrico de posição foi projetado para aplicações exigentes </w:t>
      </w:r>
      <w:r>
        <w:rPr>
          <w:lang w:val="pt-BR"/>
          <w:rFonts w:ascii="Arial" w:cs="Arial" w:eastAsia="Times New Roman" w:hAnsi="Arial"/>
          <w:sz w:val="20"/>
        </w:rPr>
        <w:t xml:space="preserve">nas áreas ATEX da categoria 2, zona 1 e/ou zona 21 </w:t>
      </w:r>
      <w:r>
        <w:rPr>
          <w:lang w:val="pt-BR"/>
          <w:rFonts w:ascii="Arial" w:cs="Arial" w:eastAsia="HelveticaWorld-Regular" w:hAnsi="Arial"/>
          <w:color w:val="000000"/>
          <w:sz w:val="20"/>
        </w:rPr>
        <w:t xml:space="preserve">e também, para a utilização robusta no caso de temperaturas baixas de até -20 °C.</w:t>
      </w:r>
    </w:p>
    <w:p w:rsidR="00690769" w:rsidRDefault="00690769" w:rsidP="00690769">
      <w:pPr>
        <w:spacing w:line="360" w:lineRule="auto"/>
        <w:rPr>
          <w:rFonts w:cs="Arial"/>
          <w:sz w:val="22"/>
          <w:szCs w:val="22"/>
        </w:rPr>
      </w:pPr>
    </w:p>
    <w:p w:rsidR="00DA168C" w:rsidRDefault="00DA168C" w:rsidP="00690769">
      <w:pPr>
        <w:spacing w:line="360" w:lineRule="auto"/>
        <w:rPr>
          <w:rFonts w:cs="Arial"/>
          <w:sz w:val="22"/>
          <w:szCs w:val="22"/>
        </w:rPr>
      </w:pPr>
    </w:p>
    <w:p w:rsidR="00DA168C" w:rsidRPr="00653508" w:rsidRDefault="00DA168C" w:rsidP="00690769">
      <w:pPr>
        <w:spacing w:line="360" w:lineRule="auto"/>
        <w:rPr>
          <w:rFonts w:cs="Arial"/>
          <w:sz w:val="22"/>
          <w:szCs w:val="22"/>
        </w:rPr>
      </w:pPr>
    </w:p>
    <w:sectPr w:rsidR="00DA168C" w:rsidRPr="00653508" w:rsidSect="00690769">
      <w:head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:rsidR="00466450" w:rsidRDefault="00466450">
      <w:r>
        <w:separator/>
      </w:r>
    </w:p>
  </w:endnote>
  <w:endnote w:type="continuationSeparator" w:id="0">
    <w:p w:rsidR="00466450" w:rsidRDefault="0046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World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466450" w:rsidRDefault="00466450" w:rsidP="003B6A50">
    <w:pPr>
      <w:pStyle w:val="Fuzeile"/>
      <w:spacing w:line="240" w:lineRule="auto"/>
    </w:pPr>
    <w:r>
      <w:rPr>
        <w:lang w:val="pt-BR"/>
        <w:rFonts w:ascii="Arial" w:cs="Times New Roman" w:eastAsia="Times New Roman" w:hAnsi="Arial"/>
        <w:sz w:val="14"/>
      </w:rPr>
      <w:t xml:space="preserve">GEMÜ Gebr. Müller Apparatebau GmbH </w:t>
    </w:r>
    <w:r>
      <w:rPr>
        <w:lang w:val="pt-BR"/>
        <w:rFonts w:ascii="Arial" w:cs="Times New Roman" w:eastAsia="Times New Roman" w:hAnsi="Arial"/>
        <w:sz w:val="14"/>
      </w:rPr>
      <w:t xml:space="preserve">&amp; Co. KG • Fritz-Müller-Str. 6-8 • D-74653 Ingelfingen</w:t>
    </w:r>
    <w:r>
      <w:rPr>
        <w:lang w:val="pt-BR"/>
        <w:rFonts w:ascii="Arial" w:cs="Times New Roman" w:eastAsia="Times New Roman" w:hAnsi="Arial"/>
        <w:sz w:val="14"/>
      </w:rPr>
      <w:tab/>
    </w:r>
    <w:r>
      <w:rPr>
        <w:lang w:val="pt-BR"/>
        <w:rFonts w:ascii="Arial" w:cs="Times New Roman" w:eastAsia="Times New Roman" w:hAnsi="Arial"/>
        <w:sz w:val="14"/>
      </w:rPr>
      <w:t xml:space="preserve">Página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1</w:t>
    </w:r>
    <w:r>
      <w:fldChar w:fldCharType="end"/>
    </w:r>
    <w:r>
      <w:rPr>
        <w:lang w:val="pt-BR"/>
        <w:rFonts w:ascii="Arial" w:cs="Times New Roman" w:eastAsia="Times New Roman" w:hAnsi="Arial"/>
        <w:sz w:val="14"/>
      </w:rPr>
      <w:t xml:space="preserve"> de </w:t>
    </w:r>
    <w:r w:rsidR="0004798F">
      <w:fldChar w:fldCharType="begin"/>
    </w:r>
    <w:r w:rsidR="0004798F">
      <w:instrText>NUMPAGES  \* Arabic  \* MERGEFORMAT</w:instrText>
    </w:r>
    <w:r w:rsidR="0004798F">
      <w:fldChar w:fldCharType="separate"/>
    </w:r>
    <w:r>
      <w:rPr>
        <w:noProof/>
      </w:rPr>
      <w:t>2</w:t>
    </w:r>
    <w:r w:rsidR="0004798F">
      <w:rPr>
        <w:noProof/>
      </w:rPr>
      <w:fldChar w:fldCharType="end"/>
    </w:r>
  </w:p>
  <w:p w:rsidR="00466450" w:rsidRPr="00CD215A" w:rsidRDefault="00466450" w:rsidP="003B6A50">
    <w:pPr>
      <w:pStyle w:val="Webseite"/>
      <w:rPr>
        <w:color w:val="auto"/>
        <w:lang w:val="pt-BR"/>
      </w:rPr>
    </w:pPr>
    <w:r>
      <w:rPr>
        <w:lang w:val="pt-BR"/>
        <w:rFonts w:ascii="Arial" w:cs="Times New Roman" w:eastAsia="Times New Roman" w:hAnsi="Arial"/>
        <w:color w:val="auto"/>
        <w:sz w:val="14"/>
      </w:rPr>
      <w:t xml:space="preserve">Tel.: +49 (0) 7940 123-0 • Fax: +49 (0) 7940 123-192</w:t>
    </w:r>
  </w:p>
  <w:p w:rsidR="00466450" w:rsidRPr="00CD215A" w:rsidRDefault="00466450" w:rsidP="003B6A50">
    <w:pPr>
      <w:pStyle w:val="Webseite"/>
      <w:rPr>
        <w:color w:val="FF0000"/>
        <w:lang w:val="pt-BR"/>
      </w:rPr>
    </w:pPr>
    <w:r>
      <w:rPr>
        <w:lang w:val="pt-BR"/>
        <w:rFonts w:ascii="Arial" w:cs="Times New Roman" w:eastAsia="Times New Roman" w:hAnsi="Arial"/>
        <w:color w:val="FF0000"/>
        <w:sz w:val="14"/>
      </w:rPr>
      <w:t xml:space="preserve">www.gemu-group.com</w:t>
    </w:r>
  </w:p>
  <w:p w:rsidR="00466450" w:rsidRPr="00CD215A" w:rsidRDefault="00466450" w:rsidP="003B6A50">
    <w:pPr>
      <w:pStyle w:val="Webseite"/>
      <w:rPr>
        <w:color w:val="A6A6A6" w:themeColor="background1" w:themeShade="A6"/>
        <w:sz w:val="12"/>
        <w:szCs w:val="12"/>
        <w:lang w:val="pt-BR"/>
      </w:rPr>
    </w:pPr>
  </w:p>
  <w:p w:rsidR="00466450" w:rsidRPr="0041214D" w:rsidRDefault="00466450" w:rsidP="003B6A50">
    <w:pPr>
      <w:pStyle w:val="Webseite"/>
      <w:rPr>
        <w:color w:val="A6A6A6" w:themeColor="background1" w:themeShade="A6"/>
        <w:sz w:val="10"/>
        <w:szCs w:val="10"/>
      </w:rPr>
    </w:pPr>
    <w:r>
      <w:rPr>
        <w:lang w:val="pt-BR"/>
        <w:rFonts w:ascii="Arial" w:cs="Times New Roman" w:eastAsia="Times New Roman" w:hAnsi="Arial"/>
        <w:color w:val="A6A6A6" w:themeColor="background1" w:themeShade="A6"/>
        <w:sz w:val="10"/>
      </w:rPr>
      <w:t xml:space="preserve">Sociedade limitada: Matriz 74653 Ingelfingen, Junta comercial Stuttgart HRA 590394; Sócio geral: Gebr. Müller GmbH, Matriz 74653 Ingelfingen, Junta comercial Stuttgart HRB 590215</w:t>
    </w:r>
  </w:p>
  <w:p w:rsidR="00466450" w:rsidRPr="0041214D" w:rsidRDefault="00466450" w:rsidP="003B6A50">
    <w:pPr>
      <w:pStyle w:val="Webseite"/>
      <w:rPr>
        <w:color w:val="A6A6A6" w:themeColor="background1" w:themeShade="A6"/>
        <w:sz w:val="10"/>
        <w:szCs w:val="10"/>
      </w:rPr>
    </w:pPr>
    <w:r>
      <w:rPr>
        <w:lang w:val="pt-BR"/>
        <w:rFonts w:ascii="Arial" w:cs="Times New Roman" w:eastAsia="Times New Roman" w:hAnsi="Arial"/>
        <w:color w:val="A6A6A6" w:themeColor="background1" w:themeShade="A6"/>
        <w:sz w:val="10"/>
      </w:rPr>
      <w:t xml:space="preserve">Gerentes: Fritz Müller, Gert Müller, Stephan Müller</w:t>
    </w:r>
  </w:p>
  <w:p w:rsidR="00466450" w:rsidRPr="0041214D" w:rsidRDefault="00466450" w:rsidP="003B6A50">
    <w:pPr>
      <w:pStyle w:val="Webseite"/>
      <w:rPr>
        <w:color w:val="A6A6A6" w:themeColor="background1" w:themeShade="A6"/>
        <w:sz w:val="10"/>
        <w:szCs w:val="10"/>
      </w:rPr>
    </w:pPr>
    <w:r>
      <w:rPr>
        <w:lang w:val="pt-BR"/>
        <w:rFonts w:ascii="Arial" w:cs="Times New Roman" w:eastAsia="Times New Roman" w:hAnsi="Arial"/>
        <w:color w:val="A6A6A6" w:themeColor="background1" w:themeShade="A6"/>
        <w:sz w:val="10"/>
      </w:rPr>
      <w:t xml:space="preserve">N° id. IVA: DE 146281082 • Nº fiscal: 76050/04341</w:t>
    </w:r>
  </w:p>
  <w:p w:rsidR="00466450" w:rsidRDefault="004664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:rsidR="00466450" w:rsidRDefault="00466450">
      <w:r>
        <w:separator/>
      </w:r>
    </w:p>
  </w:footnote>
  <w:footnote w:type="continuationSeparator" w:id="0">
    <w:p w:rsidR="00466450" w:rsidRDefault="0046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466450" w:rsidRDefault="00466450" w:rsidP="008F1259">
    <w:pPr>
      <w:pStyle w:val="Kopfzeile"/>
      <w:tabs>
        <w:tab w:val="clear" w:pos="9072"/>
      </w:tabs>
      <w:ind w:right="-186"/>
      <w:jc w:val="right"/>
    </w:pPr>
  </w:p>
  <w:p w:rsidR="00466450" w:rsidRDefault="00466450" w:rsidP="00D251F2">
    <w:pPr>
      <w:pStyle w:val="Kopfzeile"/>
      <w:tabs>
        <w:tab w:val="clear" w:pos="9072"/>
      </w:tabs>
      <w:ind w:right="-3288"/>
      <w:rPr>
        <w:b/>
      </w:rPr>
    </w:pPr>
    <w:r>
      <w:rPr>
        <w:lang w:val="pt-BR"/>
        <w:rFonts w:ascii="Arial" w:cs="Times New Roman" w:eastAsia="Times New Roman" w:hAnsi="Arial"/>
        <w:b w:val="on"/>
        <w:sz w:val="18"/>
      </w:rPr>
      <w:tab/>
    </w:r>
    <w:r>
      <w:rPr>
        <w:lang w:val="pt-BR"/>
        <w:rFonts w:ascii="Arial" w:cs="Times New Roman" w:eastAsia="Times New Roman" w:hAnsi="Arial"/>
        <w:b w:val="on"/>
        <w:sz w:val="18"/>
      </w:rPr>
      <w:tab/>
    </w:r>
    <w:r>
      <w:rPr>
        <w:lang w:val="pt-BR"/>
        <w:rFonts w:ascii="Arial" w:cs="Times New Roman" w:eastAsia="Times New Roman" w:hAnsi="Arial"/>
        <w:b w:val="on"/>
        <w:sz w:val="18"/>
      </w:rPr>
      <w:t xml:space="preserve">              </w:t>
    </w:r>
  </w:p>
  <w:p w:rsidR="00466450" w:rsidRDefault="00466450" w:rsidP="00D251F2">
    <w:pPr>
      <w:pStyle w:val="Kopfzeile"/>
      <w:tabs>
        <w:tab w:val="clear" w:pos="9072"/>
      </w:tabs>
      <w:ind w:right="-3288"/>
      <w:rPr>
        <w:b/>
      </w:rPr>
    </w:pPr>
  </w:p>
  <w:p w:rsidR="00466450" w:rsidRDefault="00466450" w:rsidP="00D251F2">
    <w:pPr>
      <w:pStyle w:val="Kopfzeile"/>
      <w:tabs>
        <w:tab w:val="clear" w:pos="9072"/>
      </w:tabs>
      <w:ind w:right="-3288"/>
      <w:rPr>
        <w:b/>
      </w:rPr>
    </w:pPr>
  </w:p>
  <w:p w:rsidR="00466450" w:rsidRPr="00BC617B" w:rsidRDefault="00466450" w:rsidP="00D251F2">
    <w:pPr>
      <w:pStyle w:val="Kopfzeile"/>
      <w:tabs>
        <w:tab w:val="clear" w:pos="9072"/>
      </w:tabs>
      <w:ind w:right="-3288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466450" w:rsidRDefault="00466450" w:rsidP="00BA7E08">
    <w:pPr>
      <w:pStyle w:val="Kopfzeile"/>
      <w:tabs>
        <w:tab w:val="clear" w:pos="9072"/>
        <w:tab w:val="right" w:pos="7088"/>
      </w:tabs>
    </w:pPr>
    <w:r>
      <w:rPr>
        <w:lang w:val="pt-BR"/>
        <w:rFonts w:ascii="Arial" w:cs="Times New Roman" w:eastAsia="Times New Roman" w:hAnsi="Arial"/>
        <w:sz w:val="18"/>
      </w:rPr>
      <w:tab/>
    </w:r>
    <w:r>
      <w:rPr>
        <w:lang w:val="pt-BR"/>
        <w:rFonts w:ascii="Arial" w:cs="Times New Roman" w:eastAsia="Times New Roman" w:hAnsi="Arial"/>
        <w:sz w:val="18"/>
      </w:rPr>
      <w:tab/>
    </w:r>
    <w:r>
      <w:rPr>
        <w:lang w:val="pt-BR"/>
        <w:rFonts w:ascii="Arial" w:cs="Times New Roman" w:eastAsia="Times New Roman" w:hAnsi="Arial"/>
        <w:sz w:val="18"/>
      </w:rPr>
      <w:tab/>
    </w:r>
    <w:r>
      <w:rPr>
        <w:lang w:val="pt-BR"/>
        <w:rFonts w:ascii="Arial" w:cs="Times New Roman" w:eastAsia="Times New Roman" w:hAnsi="Arial"/>
        <w:sz w:val="18"/>
      </w:rPr>
      <w:tab/>
    </w:r>
    <w:r>
      <w:rPr>
        <w:lang w:val="pt-BR"/>
        <w:rFonts w:ascii="Arial" w:cs="Times New Roman" w:eastAsia="Times New Roman" w:hAnsi="Arial"/>
        <w:sz w:val="18"/>
      </w:rPr>
      <w:tab/>
    </w:r>
    <w:r>
      <w:rPr>
        <w:lang w:val="pt-BR"/>
        <w:rFonts w:ascii="Arial" w:cs="Times New Roman" w:eastAsia="Times New Roman" w:hAnsi="Arial"/>
        <w:sz w:val="18"/>
      </w:rPr>
      <w:tab/>
    </w:r>
    <w:r>
      <w:rPr>
        <w:lang w:val="pt-BR"/>
        <w:rFonts w:ascii="Arial" w:cs="Times New Roman" w:eastAsia="Times New Roman" w:hAnsi="Arial"/>
        <w:sz w:val="18"/>
      </w:rPr>
      <w:tab/>
    </w:r>
    <w:r>
      <w:rPr>
        <w:lang w:val="pt-BR"/>
        <w:rFonts w:ascii="Arial" w:cs="Times New Roman" w:eastAsia="Times New Roman" w:hAnsi="Arial"/>
        <w:sz w:val="18"/>
      </w:rPr>
      <w:tab/>
    </w:r>
    <w:r>
      <w:rPr>
        <w:lang w:val="pt-BR"/>
        <w:rFonts w:ascii="Arial" w:cs="Times New Roman" w:eastAsia="Times New Roman" w:hAnsi="Arial"/>
        <w:sz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0"/>
    <w:rsid w:val="000050CC"/>
    <w:rsid w:val="0000750A"/>
    <w:rsid w:val="00027DB4"/>
    <w:rsid w:val="00043833"/>
    <w:rsid w:val="000460C8"/>
    <w:rsid w:val="0004798F"/>
    <w:rsid w:val="00050DB0"/>
    <w:rsid w:val="00054CE7"/>
    <w:rsid w:val="00073ACD"/>
    <w:rsid w:val="00092213"/>
    <w:rsid w:val="000B788E"/>
    <w:rsid w:val="000F0D01"/>
    <w:rsid w:val="0010051D"/>
    <w:rsid w:val="00103DB9"/>
    <w:rsid w:val="00114ECB"/>
    <w:rsid w:val="0012162D"/>
    <w:rsid w:val="00130D38"/>
    <w:rsid w:val="001515AC"/>
    <w:rsid w:val="00154248"/>
    <w:rsid w:val="00164461"/>
    <w:rsid w:val="001652F1"/>
    <w:rsid w:val="00165612"/>
    <w:rsid w:val="00181F6B"/>
    <w:rsid w:val="001854C6"/>
    <w:rsid w:val="001976BD"/>
    <w:rsid w:val="001A02BE"/>
    <w:rsid w:val="001A1E3F"/>
    <w:rsid w:val="001F7B46"/>
    <w:rsid w:val="0021064F"/>
    <w:rsid w:val="0021145E"/>
    <w:rsid w:val="00213155"/>
    <w:rsid w:val="00232566"/>
    <w:rsid w:val="0023585A"/>
    <w:rsid w:val="00235AEA"/>
    <w:rsid w:val="002429B4"/>
    <w:rsid w:val="00251978"/>
    <w:rsid w:val="002644DE"/>
    <w:rsid w:val="00275CF6"/>
    <w:rsid w:val="00277815"/>
    <w:rsid w:val="00294B5A"/>
    <w:rsid w:val="002A0855"/>
    <w:rsid w:val="002A204C"/>
    <w:rsid w:val="002E338F"/>
    <w:rsid w:val="00305F51"/>
    <w:rsid w:val="0031460C"/>
    <w:rsid w:val="00316E53"/>
    <w:rsid w:val="00322CB1"/>
    <w:rsid w:val="00333604"/>
    <w:rsid w:val="00351701"/>
    <w:rsid w:val="00353F39"/>
    <w:rsid w:val="00360B23"/>
    <w:rsid w:val="00372B94"/>
    <w:rsid w:val="00375C23"/>
    <w:rsid w:val="00382444"/>
    <w:rsid w:val="00383575"/>
    <w:rsid w:val="00383CC0"/>
    <w:rsid w:val="00385C06"/>
    <w:rsid w:val="00390B46"/>
    <w:rsid w:val="00390F08"/>
    <w:rsid w:val="00394792"/>
    <w:rsid w:val="003A1E1C"/>
    <w:rsid w:val="003B6A50"/>
    <w:rsid w:val="003E0E12"/>
    <w:rsid w:val="003E5D55"/>
    <w:rsid w:val="003F040C"/>
    <w:rsid w:val="003F748A"/>
    <w:rsid w:val="00401E5B"/>
    <w:rsid w:val="0041214D"/>
    <w:rsid w:val="004138C6"/>
    <w:rsid w:val="00414180"/>
    <w:rsid w:val="004150D8"/>
    <w:rsid w:val="00416142"/>
    <w:rsid w:val="004203C7"/>
    <w:rsid w:val="004205AD"/>
    <w:rsid w:val="00430004"/>
    <w:rsid w:val="0045085D"/>
    <w:rsid w:val="00466450"/>
    <w:rsid w:val="004673E1"/>
    <w:rsid w:val="0049316D"/>
    <w:rsid w:val="00495F2F"/>
    <w:rsid w:val="004A01E1"/>
    <w:rsid w:val="004A474D"/>
    <w:rsid w:val="004A5F7D"/>
    <w:rsid w:val="004C52F6"/>
    <w:rsid w:val="004C6A28"/>
    <w:rsid w:val="004E0B29"/>
    <w:rsid w:val="005137A3"/>
    <w:rsid w:val="0051628F"/>
    <w:rsid w:val="00517635"/>
    <w:rsid w:val="00522FC7"/>
    <w:rsid w:val="00523FC0"/>
    <w:rsid w:val="00524529"/>
    <w:rsid w:val="00544B1E"/>
    <w:rsid w:val="00546804"/>
    <w:rsid w:val="00552C4E"/>
    <w:rsid w:val="0055341E"/>
    <w:rsid w:val="00571FB7"/>
    <w:rsid w:val="0057388F"/>
    <w:rsid w:val="00574C6D"/>
    <w:rsid w:val="005B5508"/>
    <w:rsid w:val="005B622D"/>
    <w:rsid w:val="005D2037"/>
    <w:rsid w:val="005E571A"/>
    <w:rsid w:val="005E75E6"/>
    <w:rsid w:val="005E7988"/>
    <w:rsid w:val="005F1067"/>
    <w:rsid w:val="00637169"/>
    <w:rsid w:val="00642478"/>
    <w:rsid w:val="00650358"/>
    <w:rsid w:val="00651E92"/>
    <w:rsid w:val="00655FCE"/>
    <w:rsid w:val="00656F6C"/>
    <w:rsid w:val="00690769"/>
    <w:rsid w:val="0069167D"/>
    <w:rsid w:val="0069406E"/>
    <w:rsid w:val="00697EFD"/>
    <w:rsid w:val="006A393C"/>
    <w:rsid w:val="006B12C6"/>
    <w:rsid w:val="006B447A"/>
    <w:rsid w:val="006B4A94"/>
    <w:rsid w:val="006D4B66"/>
    <w:rsid w:val="00702357"/>
    <w:rsid w:val="0071741A"/>
    <w:rsid w:val="007213F4"/>
    <w:rsid w:val="0072338D"/>
    <w:rsid w:val="00726FEE"/>
    <w:rsid w:val="00731EB5"/>
    <w:rsid w:val="00736752"/>
    <w:rsid w:val="00740880"/>
    <w:rsid w:val="00744D08"/>
    <w:rsid w:val="00747743"/>
    <w:rsid w:val="00753936"/>
    <w:rsid w:val="00766A2D"/>
    <w:rsid w:val="00796C60"/>
    <w:rsid w:val="007A08CC"/>
    <w:rsid w:val="007A2595"/>
    <w:rsid w:val="007B2565"/>
    <w:rsid w:val="007B6EB1"/>
    <w:rsid w:val="007C5A73"/>
    <w:rsid w:val="007E392B"/>
    <w:rsid w:val="007E7946"/>
    <w:rsid w:val="007F2B68"/>
    <w:rsid w:val="007F606E"/>
    <w:rsid w:val="00817547"/>
    <w:rsid w:val="008279E1"/>
    <w:rsid w:val="00831819"/>
    <w:rsid w:val="00874B37"/>
    <w:rsid w:val="008819AD"/>
    <w:rsid w:val="0088749B"/>
    <w:rsid w:val="008A5C29"/>
    <w:rsid w:val="008C5A36"/>
    <w:rsid w:val="008D7016"/>
    <w:rsid w:val="008F1259"/>
    <w:rsid w:val="008F7DBE"/>
    <w:rsid w:val="009021DB"/>
    <w:rsid w:val="009101CE"/>
    <w:rsid w:val="00922EA4"/>
    <w:rsid w:val="009340F8"/>
    <w:rsid w:val="009369BE"/>
    <w:rsid w:val="00936DA0"/>
    <w:rsid w:val="009534F3"/>
    <w:rsid w:val="00961638"/>
    <w:rsid w:val="00963325"/>
    <w:rsid w:val="00963CD3"/>
    <w:rsid w:val="009662C2"/>
    <w:rsid w:val="009707CA"/>
    <w:rsid w:val="009879D4"/>
    <w:rsid w:val="009A501D"/>
    <w:rsid w:val="009A64AE"/>
    <w:rsid w:val="009B6416"/>
    <w:rsid w:val="009C04D6"/>
    <w:rsid w:val="009C4B9E"/>
    <w:rsid w:val="009C725F"/>
    <w:rsid w:val="009D061B"/>
    <w:rsid w:val="009D220E"/>
    <w:rsid w:val="009E13CF"/>
    <w:rsid w:val="00A01290"/>
    <w:rsid w:val="00A039F4"/>
    <w:rsid w:val="00A10CE8"/>
    <w:rsid w:val="00A14AE6"/>
    <w:rsid w:val="00A42B3F"/>
    <w:rsid w:val="00A42C8E"/>
    <w:rsid w:val="00A70AB5"/>
    <w:rsid w:val="00A84F3C"/>
    <w:rsid w:val="00A868DC"/>
    <w:rsid w:val="00A9074D"/>
    <w:rsid w:val="00A91754"/>
    <w:rsid w:val="00A9268D"/>
    <w:rsid w:val="00A94614"/>
    <w:rsid w:val="00AA0D1C"/>
    <w:rsid w:val="00AA3CFB"/>
    <w:rsid w:val="00AB4A32"/>
    <w:rsid w:val="00AC2AB2"/>
    <w:rsid w:val="00AC52E8"/>
    <w:rsid w:val="00AE3BEC"/>
    <w:rsid w:val="00AE3E92"/>
    <w:rsid w:val="00AE4759"/>
    <w:rsid w:val="00AF65F0"/>
    <w:rsid w:val="00B22DB8"/>
    <w:rsid w:val="00B26548"/>
    <w:rsid w:val="00B33CE0"/>
    <w:rsid w:val="00B34C44"/>
    <w:rsid w:val="00B369C0"/>
    <w:rsid w:val="00B46D38"/>
    <w:rsid w:val="00B55B7C"/>
    <w:rsid w:val="00B727BA"/>
    <w:rsid w:val="00B74451"/>
    <w:rsid w:val="00B75138"/>
    <w:rsid w:val="00B76EC4"/>
    <w:rsid w:val="00B8709C"/>
    <w:rsid w:val="00B918B1"/>
    <w:rsid w:val="00B91E47"/>
    <w:rsid w:val="00B9217D"/>
    <w:rsid w:val="00BA09A7"/>
    <w:rsid w:val="00BA7E08"/>
    <w:rsid w:val="00BB1983"/>
    <w:rsid w:val="00BB2284"/>
    <w:rsid w:val="00BC617B"/>
    <w:rsid w:val="00BE0C8C"/>
    <w:rsid w:val="00BE6478"/>
    <w:rsid w:val="00C1306E"/>
    <w:rsid w:val="00C266DB"/>
    <w:rsid w:val="00C41618"/>
    <w:rsid w:val="00C44B03"/>
    <w:rsid w:val="00C5559A"/>
    <w:rsid w:val="00C641DF"/>
    <w:rsid w:val="00C6663D"/>
    <w:rsid w:val="00C72D6F"/>
    <w:rsid w:val="00C73743"/>
    <w:rsid w:val="00CA3B5D"/>
    <w:rsid w:val="00CB1AF7"/>
    <w:rsid w:val="00CC1849"/>
    <w:rsid w:val="00CD215A"/>
    <w:rsid w:val="00CE54FD"/>
    <w:rsid w:val="00CF6387"/>
    <w:rsid w:val="00D2045A"/>
    <w:rsid w:val="00D251F2"/>
    <w:rsid w:val="00D34C12"/>
    <w:rsid w:val="00D63A60"/>
    <w:rsid w:val="00D918DA"/>
    <w:rsid w:val="00D92FED"/>
    <w:rsid w:val="00DA05F6"/>
    <w:rsid w:val="00DA168C"/>
    <w:rsid w:val="00DB2188"/>
    <w:rsid w:val="00DB52D9"/>
    <w:rsid w:val="00DC0DEF"/>
    <w:rsid w:val="00DE3226"/>
    <w:rsid w:val="00DE7E33"/>
    <w:rsid w:val="00E015C1"/>
    <w:rsid w:val="00E17884"/>
    <w:rsid w:val="00E233F6"/>
    <w:rsid w:val="00E508E3"/>
    <w:rsid w:val="00E76A3E"/>
    <w:rsid w:val="00E77CB9"/>
    <w:rsid w:val="00E867C7"/>
    <w:rsid w:val="00EE7089"/>
    <w:rsid w:val="00EF7DC5"/>
    <w:rsid w:val="00F06DD8"/>
    <w:rsid w:val="00F07CFA"/>
    <w:rsid w:val="00F3337C"/>
    <w:rsid w:val="00F36299"/>
    <w:rsid w:val="00F40C82"/>
    <w:rsid w:val="00F43CF3"/>
    <w:rsid w:val="00F45366"/>
    <w:rsid w:val="00F517FE"/>
    <w:rsid w:val="00F6224D"/>
    <w:rsid w:val="00F959FC"/>
    <w:rsid w:val="00FA70D3"/>
    <w:rsid w:val="00FB0AF4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docId w15:val="{AC254223-EF72-41FC-B588-EE7F18CE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="Times New Roman" w:hAnsi="Arial" w:cs="Times New Roman"/>
        <w:lang w:val="pt-BR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D918DA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pt-BR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pt-BR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  <w:style w:type="character" w:customStyle="1" w:styleId="HeadlineFliesstextZchn">
    <w:name w:val="Headline Fliesstext Zchn"/>
    <w:basedOn w:val="Absatz-Standardschriftart"/>
    <w:link w:val="HeadlineFliesstext"/>
    <w:locked/>
    <w:rsid w:val="00AE3E92"/>
    <w:rPr>
      <w:rFonts w:ascii="Arial Black" w:hAnsi="Arial Black"/>
      <w:color w:val="C00000"/>
    </w:rPr>
  </w:style>
  <w:style w:type="paragraph" w:customStyle="1" w:styleId="HeadlineFliesstext">
    <w:name w:val="Headline Fliesstext"/>
    <w:basedOn w:val="Standard"/>
    <w:link w:val="HeadlineFliesstextZchn"/>
    <w:rsid w:val="00AE3E92"/>
    <w:pPr>
      <w:autoSpaceDE w:val="0"/>
      <w:autoSpaceDN w:val="0"/>
      <w:spacing w:after="300" w:line="360" w:lineRule="auto"/>
    </w:pPr>
    <w:rPr>
      <w:rFonts w:ascii="Arial Black" w:hAnsi="Arial Black"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FE5EC060-E5B9-4EE4-B312-A52556B1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139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creator>Jovic, Ivona</dc:creator>
  <cp:lastModifiedBy>Meißner, Ivona</cp:lastModifiedBy>
  <cp:revision>14</cp:revision>
  <cp:lastPrinted>2014-04-15T08:09:00Z</cp:lastPrinted>
  <dcterms:created xsi:type="dcterms:W3CDTF">2018-05-07T11:18:00Z</dcterms:created>
  <dcterms:modified xsi:type="dcterms:W3CDTF">2019-01-07T07:29:00Z</dcterms:modified>
</cp:coreProperties>
</file>