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FC3F62" w:rsidRPr="00FC3F62" w:rsidRDefault="00FC3F62" w:rsidP="00FC3F62">
      <w:pPr>
        <w:rPr>
          <w:b/>
          <w:bCs/>
          <w:sz w:val="28"/>
          <w:szCs w:val="28"/>
          <w:lang w:val="sv-SE"/>
        </w:rPr>
      </w:pPr>
      <w:r w:rsidRPr="00FC3F62">
        <w:rPr>
          <w:rFonts w:eastAsiaTheme="minorHAnsi" w:cstheme="minorBidi"/>
          <w:b/>
          <w:bCs/>
          <w:sz w:val="28"/>
          <w:szCs w:val="28"/>
          <w:lang w:val="sv-SE"/>
        </w:rPr>
        <w:t>Automatiseringskomponenter från GEMÜ får UL-märkning</w:t>
      </w:r>
    </w:p>
    <w:p w:rsidR="00FC3F62" w:rsidRPr="00FC3F62" w:rsidRDefault="00FC3F62" w:rsidP="00FC3F62">
      <w:pPr>
        <w:rPr>
          <w:lang w:val="sv-SE"/>
        </w:rPr>
      </w:pPr>
    </w:p>
    <w:p w:rsidR="00FC3F62" w:rsidRPr="0046603A" w:rsidRDefault="00FC3F62" w:rsidP="0046603A">
      <w:pPr>
        <w:spacing w:line="360" w:lineRule="auto"/>
        <w:rPr>
          <w:b/>
          <w:bCs/>
          <w:sz w:val="21"/>
          <w:szCs w:val="21"/>
          <w:lang w:val="sv-SE"/>
        </w:rPr>
      </w:pPr>
      <w:r w:rsidRPr="0046603A">
        <w:rPr>
          <w:rFonts w:eastAsiaTheme="minorHAnsi" w:cstheme="minorBidi"/>
          <w:b/>
          <w:bCs/>
          <w:sz w:val="21"/>
          <w:szCs w:val="21"/>
          <w:lang w:val="sv-SE"/>
        </w:rPr>
        <w:t xml:space="preserve">Ventilspecialisten GEMÜ har certifierat ytterligare tre intelligenta automatiseringskomponenter med en UL-märkning: gränslägesindikatorerna GEMÜ 1235 och GEMÜ 1236, samt lägesregulatorn GEMÜ 1436 </w:t>
      </w:r>
      <w:proofErr w:type="spellStart"/>
      <w:r w:rsidRPr="0046603A">
        <w:rPr>
          <w:rFonts w:eastAsiaTheme="minorHAnsi" w:cstheme="minorBidi"/>
          <w:b/>
          <w:bCs/>
          <w:sz w:val="21"/>
          <w:szCs w:val="21"/>
          <w:lang w:val="sv-SE"/>
        </w:rPr>
        <w:t>eco</w:t>
      </w:r>
      <w:proofErr w:type="spellEnd"/>
      <w:r w:rsidRPr="0046603A">
        <w:rPr>
          <w:rFonts w:eastAsiaTheme="minorHAnsi" w:cstheme="minorBidi"/>
          <w:b/>
          <w:bCs/>
          <w:sz w:val="21"/>
          <w:szCs w:val="21"/>
          <w:lang w:val="sv-SE"/>
        </w:rPr>
        <w:t xml:space="preserve"> </w:t>
      </w:r>
      <w:proofErr w:type="spellStart"/>
      <w:r w:rsidRPr="0046603A">
        <w:rPr>
          <w:rFonts w:eastAsiaTheme="minorHAnsi" w:cstheme="minorBidi"/>
          <w:b/>
          <w:bCs/>
          <w:sz w:val="21"/>
          <w:szCs w:val="21"/>
          <w:lang w:val="sv-SE"/>
        </w:rPr>
        <w:t>cPos</w:t>
      </w:r>
      <w:proofErr w:type="spellEnd"/>
      <w:r w:rsidRPr="0046603A">
        <w:rPr>
          <w:rFonts w:eastAsiaTheme="minorHAnsi" w:cstheme="minorBidi"/>
          <w:b/>
          <w:bCs/>
          <w:sz w:val="21"/>
          <w:szCs w:val="21"/>
          <w:lang w:val="sv-SE"/>
        </w:rPr>
        <w:t>.</w:t>
      </w:r>
    </w:p>
    <w:p w:rsidR="00FC3F62" w:rsidRPr="0046603A" w:rsidRDefault="00FC3F62" w:rsidP="0046603A">
      <w:pPr>
        <w:spacing w:line="360" w:lineRule="auto"/>
        <w:rPr>
          <w:sz w:val="21"/>
          <w:szCs w:val="21"/>
          <w:lang w:val="sv-SE"/>
        </w:rPr>
      </w:pPr>
    </w:p>
    <w:p w:rsidR="00FC3F62" w:rsidRPr="0046603A" w:rsidRDefault="00FC3F62" w:rsidP="0046603A">
      <w:pPr>
        <w:spacing w:line="360" w:lineRule="auto"/>
        <w:rPr>
          <w:sz w:val="21"/>
          <w:szCs w:val="21"/>
          <w:lang w:val="sv-SE"/>
        </w:rPr>
      </w:pPr>
      <w:r w:rsidRPr="0046603A">
        <w:rPr>
          <w:rFonts w:eastAsiaTheme="minorHAnsi" w:cstheme="minorBidi"/>
          <w:sz w:val="21"/>
          <w:szCs w:val="21"/>
          <w:lang w:val="sv-SE"/>
        </w:rPr>
        <w:t>UL-märkningen gäller för USA och Kanada. Det är praktiskt taget en förutsättning för alla maskiner och komponenter som exporteras till och används i dessa länder.</w:t>
      </w:r>
    </w:p>
    <w:p w:rsidR="00FC3F62" w:rsidRPr="0046603A" w:rsidRDefault="00FC3F62" w:rsidP="0046603A">
      <w:pPr>
        <w:spacing w:line="360" w:lineRule="auto"/>
        <w:rPr>
          <w:sz w:val="21"/>
          <w:szCs w:val="21"/>
          <w:lang w:val="sv-SE"/>
        </w:rPr>
      </w:pPr>
    </w:p>
    <w:p w:rsidR="00FC3F62" w:rsidRPr="0046603A" w:rsidRDefault="00FC3F62" w:rsidP="0046603A">
      <w:pPr>
        <w:spacing w:line="360" w:lineRule="auto"/>
        <w:rPr>
          <w:b/>
          <w:bCs/>
          <w:sz w:val="21"/>
          <w:szCs w:val="21"/>
          <w:lang w:val="sv-SE"/>
        </w:rPr>
      </w:pPr>
      <w:r w:rsidRPr="0046603A">
        <w:rPr>
          <w:rFonts w:eastAsiaTheme="minorHAnsi" w:cstheme="minorBidi"/>
          <w:b/>
          <w:bCs/>
          <w:sz w:val="21"/>
          <w:szCs w:val="21"/>
          <w:lang w:val="sv-SE"/>
        </w:rPr>
        <w:t>Gränslägesindikator GEMÜ 1235 och GEMÜ 1236</w:t>
      </w:r>
    </w:p>
    <w:p w:rsidR="00FC3F62" w:rsidRPr="0046603A" w:rsidRDefault="00FC3F62" w:rsidP="0046603A">
      <w:pPr>
        <w:spacing w:line="360" w:lineRule="auto"/>
        <w:rPr>
          <w:sz w:val="21"/>
          <w:szCs w:val="21"/>
          <w:lang w:val="sv-SE"/>
        </w:rPr>
      </w:pPr>
      <w:r w:rsidRPr="0046603A">
        <w:rPr>
          <w:rFonts w:eastAsiaTheme="minorHAnsi" w:cstheme="minorBidi"/>
          <w:sz w:val="21"/>
          <w:szCs w:val="21"/>
          <w:lang w:val="sv-SE"/>
        </w:rPr>
        <w:t xml:space="preserve">Gränslägesindikatorerna GEMÜ 1235 och GEMÜ 1236 kännetecknas av den kompakta och enkla konstruktionen med de senaste funktionerna. De har en konventionell och diskret kvittering av processventilens läge (stängd eller öppen) och IO-Link-kommunikation. Produkterna finns i plast och rostfritt stål. </w:t>
      </w:r>
    </w:p>
    <w:p w:rsidR="00FC3F62" w:rsidRPr="0046603A" w:rsidRDefault="00FC3F62" w:rsidP="0046603A">
      <w:pPr>
        <w:spacing w:line="360" w:lineRule="auto"/>
        <w:rPr>
          <w:sz w:val="21"/>
          <w:szCs w:val="21"/>
          <w:lang w:val="sv-SE"/>
        </w:rPr>
      </w:pPr>
    </w:p>
    <w:p w:rsidR="00FC3F62" w:rsidRPr="0046603A" w:rsidRDefault="00FC3F62" w:rsidP="0046603A">
      <w:pPr>
        <w:spacing w:line="360" w:lineRule="auto"/>
        <w:rPr>
          <w:b/>
          <w:bCs/>
          <w:sz w:val="21"/>
          <w:szCs w:val="21"/>
          <w:lang w:val="sv-SE"/>
        </w:rPr>
      </w:pPr>
      <w:r w:rsidRPr="0046603A">
        <w:rPr>
          <w:rFonts w:eastAsiaTheme="minorHAnsi" w:cstheme="minorBidi"/>
          <w:b/>
          <w:bCs/>
          <w:sz w:val="21"/>
          <w:szCs w:val="21"/>
          <w:lang w:val="sv-SE"/>
        </w:rPr>
        <w:t xml:space="preserve">Lägesregulator GEMÜ 1436 </w:t>
      </w:r>
      <w:proofErr w:type="spellStart"/>
      <w:r w:rsidRPr="0046603A">
        <w:rPr>
          <w:rFonts w:eastAsiaTheme="minorHAnsi" w:cstheme="minorBidi"/>
          <w:b/>
          <w:bCs/>
          <w:sz w:val="21"/>
          <w:szCs w:val="21"/>
          <w:lang w:val="sv-SE"/>
        </w:rPr>
        <w:t>eco</w:t>
      </w:r>
      <w:proofErr w:type="spellEnd"/>
      <w:r w:rsidRPr="0046603A">
        <w:rPr>
          <w:rFonts w:eastAsiaTheme="minorHAnsi" w:cstheme="minorBidi"/>
          <w:b/>
          <w:bCs/>
          <w:sz w:val="21"/>
          <w:szCs w:val="21"/>
          <w:lang w:val="sv-SE"/>
        </w:rPr>
        <w:t xml:space="preserve"> </w:t>
      </w:r>
      <w:proofErr w:type="spellStart"/>
      <w:r w:rsidRPr="0046603A">
        <w:rPr>
          <w:rFonts w:eastAsiaTheme="minorHAnsi" w:cstheme="minorBidi"/>
          <w:b/>
          <w:bCs/>
          <w:sz w:val="21"/>
          <w:szCs w:val="21"/>
          <w:lang w:val="sv-SE"/>
        </w:rPr>
        <w:t>cPos</w:t>
      </w:r>
      <w:proofErr w:type="spellEnd"/>
      <w:r w:rsidRPr="0046603A">
        <w:rPr>
          <w:rFonts w:eastAsiaTheme="minorHAnsi" w:cstheme="minorBidi"/>
          <w:b/>
          <w:bCs/>
          <w:sz w:val="21"/>
          <w:szCs w:val="21"/>
          <w:lang w:val="sv-SE"/>
        </w:rPr>
        <w:t xml:space="preserve"> </w:t>
      </w:r>
    </w:p>
    <w:p w:rsidR="00FC3F62" w:rsidRPr="0046603A" w:rsidRDefault="00FC3F62" w:rsidP="0046603A">
      <w:pPr>
        <w:spacing w:line="360" w:lineRule="auto"/>
        <w:rPr>
          <w:sz w:val="21"/>
          <w:szCs w:val="21"/>
          <w:lang w:val="sv-SE"/>
        </w:rPr>
      </w:pPr>
      <w:r w:rsidRPr="0046603A">
        <w:rPr>
          <w:rFonts w:eastAsiaTheme="minorHAnsi" w:cstheme="minorBidi"/>
          <w:sz w:val="21"/>
          <w:szCs w:val="21"/>
          <w:lang w:val="sv-SE"/>
        </w:rPr>
        <w:t xml:space="preserve">Lägesregulatorn GEMÜ 1436 </w:t>
      </w:r>
      <w:proofErr w:type="spellStart"/>
      <w:r w:rsidRPr="0046603A">
        <w:rPr>
          <w:rFonts w:eastAsiaTheme="minorHAnsi" w:cstheme="minorBidi"/>
          <w:sz w:val="21"/>
          <w:szCs w:val="21"/>
          <w:lang w:val="sv-SE"/>
        </w:rPr>
        <w:t>eco</w:t>
      </w:r>
      <w:proofErr w:type="spellEnd"/>
      <w:r w:rsidRPr="0046603A">
        <w:rPr>
          <w:rFonts w:eastAsiaTheme="minorHAnsi" w:cstheme="minorBidi"/>
          <w:sz w:val="21"/>
          <w:szCs w:val="21"/>
          <w:lang w:val="sv-SE"/>
        </w:rPr>
        <w:t xml:space="preserve"> </w:t>
      </w:r>
      <w:proofErr w:type="spellStart"/>
      <w:r w:rsidRPr="0046603A">
        <w:rPr>
          <w:rFonts w:eastAsiaTheme="minorHAnsi" w:cstheme="minorBidi"/>
          <w:sz w:val="21"/>
          <w:szCs w:val="21"/>
          <w:lang w:val="sv-SE"/>
        </w:rPr>
        <w:t>cPos</w:t>
      </w:r>
      <w:proofErr w:type="spellEnd"/>
      <w:r w:rsidRPr="0046603A">
        <w:rPr>
          <w:rFonts w:eastAsiaTheme="minorHAnsi" w:cstheme="minorBidi"/>
          <w:sz w:val="21"/>
          <w:szCs w:val="21"/>
          <w:lang w:val="sv-SE"/>
        </w:rPr>
        <w:t xml:space="preserve"> kan användas mångsidigt. Den här enheten är en osedvanligt lättanvänd lägesregulator för regleruppgifter eftersom elektroniken har reducerats till kärnfunktionerna och enheten har försetts med en funktion för snabb driftsättning (speed-AP).</w:t>
      </w:r>
    </w:p>
    <w:p w:rsidR="00FC3F62" w:rsidRPr="0046603A" w:rsidRDefault="00AE6A76" w:rsidP="0046603A">
      <w:pPr>
        <w:spacing w:line="360" w:lineRule="auto"/>
        <w:rPr>
          <w:sz w:val="21"/>
          <w:szCs w:val="21"/>
          <w:lang w:val="sv-SE"/>
        </w:rPr>
      </w:pPr>
      <w:r w:rsidRPr="0046603A">
        <w:rPr>
          <w:noProof/>
          <w:sz w:val="21"/>
          <w:szCs w:val="21"/>
        </w:rPr>
        <w:drawing>
          <wp:anchor distT="0" distB="0" distL="114300" distR="114300" simplePos="0" relativeHeight="251659264" behindDoc="0" locked="0" layoutInCell="1" allowOverlap="1" wp14:anchorId="396620AB" wp14:editId="1E0004FC">
            <wp:simplePos x="0" y="0"/>
            <wp:positionH relativeFrom="margin">
              <wp:align>left</wp:align>
            </wp:positionH>
            <wp:positionV relativeFrom="paragraph">
              <wp:posOffset>301625</wp:posOffset>
            </wp:positionV>
            <wp:extent cx="2103120" cy="1807845"/>
            <wp:effectExtent l="0" t="0" r="0" b="190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111002" cy="1815072"/>
                    </a:xfrm>
                    <a:prstGeom prst="rect">
                      <a:avLst/>
                    </a:prstGeom>
                  </pic:spPr>
                </pic:pic>
              </a:graphicData>
            </a:graphic>
            <wp14:sizeRelH relativeFrom="page">
              <wp14:pctWidth>0</wp14:pctWidth>
            </wp14:sizeRelH>
            <wp14:sizeRelV relativeFrom="page">
              <wp14:pctHeight>0</wp14:pctHeight>
            </wp14:sizeRelV>
          </wp:anchor>
        </w:drawing>
      </w:r>
    </w:p>
    <w:p w:rsidR="00FC3F62" w:rsidRPr="00FC3F62" w:rsidRDefault="00FC3F62" w:rsidP="00FC3F62">
      <w:pPr>
        <w:rPr>
          <w:lang w:val="sv-SE"/>
        </w:rPr>
      </w:pPr>
      <w:r>
        <w:rPr>
          <w:rFonts w:eastAsiaTheme="minorHAnsi" w:cstheme="minorBidi"/>
          <w:lang w:val="sv-SE"/>
        </w:rPr>
        <w:t xml:space="preserve"> Bildtext: från vänster till höger: GEMÜ 1234, GEM</w:t>
      </w:r>
      <w:bookmarkStart w:id="0" w:name="_GoBack"/>
      <w:bookmarkEnd w:id="0"/>
      <w:r>
        <w:rPr>
          <w:rFonts w:eastAsiaTheme="minorHAnsi" w:cstheme="minorBidi"/>
          <w:lang w:val="sv-SE"/>
        </w:rPr>
        <w:t xml:space="preserve">Ü 1436 </w:t>
      </w:r>
      <w:proofErr w:type="spellStart"/>
      <w:r>
        <w:rPr>
          <w:rFonts w:eastAsiaTheme="minorHAnsi" w:cstheme="minorBidi"/>
          <w:lang w:val="sv-SE"/>
        </w:rPr>
        <w:t>eco</w:t>
      </w:r>
      <w:proofErr w:type="spellEnd"/>
      <w:r>
        <w:rPr>
          <w:rFonts w:eastAsiaTheme="minorHAnsi" w:cstheme="minorBidi"/>
          <w:lang w:val="sv-SE"/>
        </w:rPr>
        <w:t xml:space="preserve"> </w:t>
      </w:r>
      <w:proofErr w:type="spellStart"/>
      <w:r>
        <w:rPr>
          <w:rFonts w:eastAsiaTheme="minorHAnsi" w:cstheme="minorBidi"/>
          <w:lang w:val="sv-SE"/>
        </w:rPr>
        <w:t>cPos</w:t>
      </w:r>
      <w:proofErr w:type="spellEnd"/>
      <w:r>
        <w:rPr>
          <w:rFonts w:eastAsiaTheme="minorHAnsi" w:cstheme="minorBidi"/>
          <w:lang w:val="sv-SE"/>
        </w:rPr>
        <w:t xml:space="preserve"> och GEMÜ 1235</w:t>
      </w:r>
    </w:p>
    <w:p w:rsidR="0052138C" w:rsidRDefault="00EC7B3B" w:rsidP="00EC7B3B">
      <w:pPr>
        <w:autoSpaceDE w:val="0"/>
        <w:autoSpaceDN w:val="0"/>
        <w:adjustRightInd w:val="0"/>
        <w:spacing w:line="360" w:lineRule="auto"/>
        <w:rPr>
          <w:rFonts w:cs="Arial"/>
          <w:lang w:val="en-GB"/>
        </w:rPr>
      </w:pPr>
      <w:r w:rsidRPr="00EC7B3B">
        <w:rPr>
          <w:rFonts w:cs="Arial"/>
          <w:b/>
          <w:bCs/>
          <w:lang w:val="sv-SE"/>
        </w:rPr>
        <w:lastRenderedPageBreak/>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2019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proofErr w:type="spellStart"/>
      <w:r w:rsidRPr="00EC7B3B">
        <w:rPr>
          <w:rFonts w:cs="Arial"/>
          <w:shd w:val="clear" w:color="auto" w:fill="FFFFFF"/>
        </w:rPr>
        <w:t>Mer</w:t>
      </w:r>
      <w:proofErr w:type="spellEnd"/>
      <w:r w:rsidRPr="00EC7B3B">
        <w:rPr>
          <w:rFonts w:cs="Arial"/>
          <w:shd w:val="clear" w:color="auto" w:fill="FFFFFF"/>
        </w:rPr>
        <w:t xml:space="preserve"> </w:t>
      </w:r>
      <w:proofErr w:type="spellStart"/>
      <w:r w:rsidRPr="00EC7B3B">
        <w:rPr>
          <w:rFonts w:cs="Arial"/>
          <w:shd w:val="clear" w:color="auto" w:fill="FFFFFF"/>
        </w:rPr>
        <w:t>information</w:t>
      </w:r>
      <w:proofErr w:type="spellEnd"/>
      <w:r w:rsidRPr="00EC7B3B">
        <w:rPr>
          <w:rFonts w:cs="Arial"/>
          <w:shd w:val="clear" w:color="auto" w:fill="FFFFFF"/>
        </w:rPr>
        <w:t xml:space="preserve"> </w:t>
      </w:r>
      <w:proofErr w:type="spellStart"/>
      <w:r w:rsidRPr="00EC7B3B">
        <w:rPr>
          <w:rFonts w:cs="Arial"/>
          <w:shd w:val="clear" w:color="auto" w:fill="FFFFFF"/>
        </w:rPr>
        <w:t>finns</w:t>
      </w:r>
      <w:proofErr w:type="spellEnd"/>
      <w:r w:rsidRPr="00EC7B3B">
        <w:rPr>
          <w:rFonts w:cs="Arial"/>
          <w:shd w:val="clear" w:color="auto" w:fill="FFFFFF"/>
        </w:rPr>
        <w:t xml:space="preserve"> </w:t>
      </w:r>
      <w:proofErr w:type="spellStart"/>
      <w:r w:rsidRPr="00EC7B3B">
        <w:rPr>
          <w:rFonts w:cs="Arial"/>
          <w:shd w:val="clear" w:color="auto" w:fill="FFFFFF"/>
        </w:rPr>
        <w:t>på</w:t>
      </w:r>
      <w:proofErr w:type="spellEnd"/>
      <w:r w:rsidRPr="00EC7B3B">
        <w:rPr>
          <w:rFonts w:cs="Arial"/>
          <w:shd w:val="clear" w:color="auto" w:fill="FFFFFF"/>
        </w:rPr>
        <w:t xml:space="preserve"> </w:t>
      </w:r>
      <w:proofErr w:type="spellStart"/>
      <w:r w:rsidRPr="00EC7B3B">
        <w:rPr>
          <w:rFonts w:cs="Arial"/>
          <w:shd w:val="clear" w:color="auto" w:fill="FFFFFF"/>
        </w:rPr>
        <w:t>adressen</w:t>
      </w:r>
      <w:proofErr w:type="spellEnd"/>
      <w:r w:rsidRPr="00EC7B3B">
        <w:rPr>
          <w:rFonts w:cs="Arial"/>
          <w:shd w:val="clear" w:color="auto" w:fill="FFFFFF"/>
        </w:rPr>
        <w:t xml:space="preserve">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r w:rsidRPr="007A759B">
                      <w:rPr>
                        <w:bCs/>
                        <w:sz w:val="24"/>
                        <w:szCs w:val="24"/>
                      </w:rPr>
                      <w:t>Pressmeddelande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603A"/>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5057"/>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E6A76"/>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3F62"/>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DD109DF9-0D77-4249-AF55-C77560A6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2020-12-28T11:17:00Z</dcterms:created>
  <dcterms:modified xsi:type="dcterms:W3CDTF">2021-01-11T07:17:00Z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