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09B10" w14:textId="77777777" w:rsidR="00A84F3C" w:rsidRPr="00DE11BC" w:rsidRDefault="00A84F3C" w:rsidP="00F3788D">
      <w:pPr>
        <w:pStyle w:val="Kopfzeile"/>
        <w:tabs>
          <w:tab w:val="clear" w:pos="4536"/>
          <w:tab w:val="clear" w:pos="9072"/>
        </w:tabs>
        <w:spacing w:line="360" w:lineRule="auto"/>
        <w:rPr>
          <w:rFonts w:cs="Arial"/>
          <w:sz w:val="22"/>
        </w:rPr>
      </w:pPr>
    </w:p>
    <w:p w14:paraId="437D78BA" w14:textId="77777777" w:rsidR="0037695B" w:rsidRPr="000563C7" w:rsidRDefault="0037695B" w:rsidP="000B7CB3">
      <w:pPr>
        <w:tabs>
          <w:tab w:val="left" w:pos="7088"/>
        </w:tabs>
        <w:spacing w:line="360" w:lineRule="auto"/>
        <w:rPr>
          <w:rFonts w:cs="Arial"/>
          <w:sz w:val="22"/>
          <w:szCs w:val="22"/>
          <w:lang w:val="sv-SE"/>
        </w:rPr>
      </w:pPr>
    </w:p>
    <w:p w14:paraId="0BE954BA" w14:textId="77777777" w:rsidR="0020346F" w:rsidRPr="0020346F" w:rsidRDefault="0020346F" w:rsidP="0020346F">
      <w:pPr>
        <w:spacing w:line="360" w:lineRule="auto"/>
        <w:rPr>
          <w:rFonts w:eastAsiaTheme="minorEastAsia" w:cstheme="minorBidi"/>
          <w:b/>
          <w:sz w:val="24"/>
          <w:szCs w:val="21"/>
          <w:lang w:val="da-DK"/>
        </w:rPr>
      </w:pPr>
      <w:r w:rsidRPr="0020346F">
        <w:rPr>
          <w:rFonts w:eastAsiaTheme="minorEastAsia" w:cstheme="minorBidi"/>
          <w:b/>
          <w:sz w:val="24"/>
          <w:szCs w:val="21"/>
          <w:lang w:val="da-DK"/>
        </w:rPr>
        <w:t>GEMÜ præsenterer CONEXO 2025 – den nye æra inden for digital anlægsstyring</w:t>
      </w:r>
    </w:p>
    <w:p w14:paraId="351866B9" w14:textId="77777777" w:rsidR="0020346F" w:rsidRPr="0020346F" w:rsidRDefault="0020346F" w:rsidP="0020346F">
      <w:pPr>
        <w:spacing w:line="360" w:lineRule="auto"/>
        <w:rPr>
          <w:b/>
          <w:bCs/>
          <w:sz w:val="22"/>
          <w:szCs w:val="28"/>
          <w:lang w:val="sv-SE"/>
        </w:rPr>
      </w:pPr>
    </w:p>
    <w:p w14:paraId="11642247" w14:textId="77777777" w:rsidR="0020346F" w:rsidRDefault="0020346F" w:rsidP="0020346F">
      <w:pPr>
        <w:spacing w:line="360" w:lineRule="auto"/>
        <w:rPr>
          <w:rFonts w:eastAsiaTheme="minorEastAsia" w:cstheme="minorBidi"/>
          <w:b/>
          <w:lang w:val="da-DK"/>
        </w:rPr>
      </w:pPr>
      <w:r>
        <w:rPr>
          <w:rFonts w:eastAsiaTheme="minorEastAsia" w:cstheme="minorBidi"/>
          <w:b/>
          <w:lang w:val="da-DK"/>
        </w:rPr>
        <w:t>GEMÜ-gruppen, der er specialist i ventil-, måle- og reguleringsteknik, præsenterer CONEXO 2025, den næste generation af deres digitale løsning til producentuafhængig administration af anlægs livscyklus. Den nye version sætter standarden for digital identifikation og administration af komponenter og skaber komplet gennemsigtighed gennem hele livscyklussen – fra idrifttagning til bortskaffelse.</w:t>
      </w:r>
    </w:p>
    <w:p w14:paraId="0AA39A7F" w14:textId="77777777" w:rsidR="0020346F" w:rsidRPr="0020346F" w:rsidRDefault="0020346F" w:rsidP="0020346F">
      <w:pPr>
        <w:spacing w:line="360" w:lineRule="auto"/>
        <w:rPr>
          <w:b/>
          <w:bCs/>
          <w:lang w:val="sv-SE"/>
        </w:rPr>
      </w:pPr>
    </w:p>
    <w:p w14:paraId="4983C9A6" w14:textId="77777777" w:rsidR="0020346F" w:rsidRPr="0020346F" w:rsidRDefault="0020346F" w:rsidP="0020346F">
      <w:pPr>
        <w:spacing w:line="360" w:lineRule="auto"/>
        <w:rPr>
          <w:lang w:val="sv-SE"/>
        </w:rPr>
      </w:pPr>
      <w:r>
        <w:rPr>
          <w:rFonts w:eastAsiaTheme="minorEastAsia" w:cstheme="minorBidi"/>
          <w:lang w:val="da-DK"/>
        </w:rPr>
        <w:t>Ved hjælp af moderne teknologier som RFID, QR-kode og DataMatrix muliggør CONEXO 2025 entydig identifikation af komponenter direkte i anlægget og knytter dem til digitale produktdata, vedligeholdelsesinformationer og forældelsesstatus.</w:t>
      </w:r>
    </w:p>
    <w:p w14:paraId="7B6F905E" w14:textId="31A1967F" w:rsidR="0020346F" w:rsidRDefault="0020346F" w:rsidP="0020346F">
      <w:pPr>
        <w:spacing w:line="360" w:lineRule="auto"/>
        <w:rPr>
          <w:rFonts w:eastAsiaTheme="minorEastAsia" w:cstheme="minorBidi"/>
          <w:lang w:val="da-DK"/>
        </w:rPr>
      </w:pPr>
      <w:r>
        <w:rPr>
          <w:rFonts w:eastAsiaTheme="minorEastAsia" w:cstheme="minorBidi"/>
          <w:lang w:val="da-DK"/>
        </w:rPr>
        <w:t>En simpel scanning er alt, hvad der skal til for at give serviceteknikerne øjeblikkelig adgang til relevante dokumenter, certifikater, vedligeholdelseshistorik og ventende opgaver.</w:t>
      </w:r>
    </w:p>
    <w:p w14:paraId="5A5A7594" w14:textId="77777777" w:rsidR="0020346F" w:rsidRPr="0020346F" w:rsidRDefault="0020346F" w:rsidP="0020346F">
      <w:pPr>
        <w:spacing w:line="360" w:lineRule="auto"/>
        <w:rPr>
          <w:rFonts w:eastAsiaTheme="minorEastAsia" w:cstheme="minorBidi"/>
          <w:lang w:val="da-DK"/>
        </w:rPr>
      </w:pPr>
    </w:p>
    <w:p w14:paraId="0C54DF36" w14:textId="77777777" w:rsidR="0020346F" w:rsidRPr="0020346F" w:rsidRDefault="0020346F" w:rsidP="0020346F">
      <w:pPr>
        <w:spacing w:line="360" w:lineRule="auto"/>
        <w:rPr>
          <w:b/>
          <w:bCs/>
          <w:lang w:val="sv-SE"/>
        </w:rPr>
      </w:pPr>
      <w:r>
        <w:rPr>
          <w:rFonts w:eastAsiaTheme="minorEastAsia" w:cstheme="minorBidi"/>
          <w:b/>
          <w:lang w:val="da-DK"/>
        </w:rPr>
        <w:t>Åben. Baseret på standarder. Fremtidssikret.</w:t>
      </w:r>
    </w:p>
    <w:p w14:paraId="2F03D729" w14:textId="77777777" w:rsidR="0020346F" w:rsidRDefault="0020346F" w:rsidP="0020346F">
      <w:pPr>
        <w:spacing w:line="360" w:lineRule="auto"/>
        <w:rPr>
          <w:rFonts w:eastAsiaTheme="minorEastAsia" w:cstheme="minorBidi"/>
          <w:lang w:val="da-DK"/>
        </w:rPr>
      </w:pPr>
      <w:r>
        <w:rPr>
          <w:rFonts w:eastAsiaTheme="minorEastAsia" w:cstheme="minorBidi"/>
          <w:lang w:val="da-DK"/>
        </w:rPr>
        <w:t>CONEXO 2025 er baseret på internationale standarder og opfylder allerede nu kravene til fremtidige regler som f.eks. Digital Product Passport (DPP). Entydig identifikation muliggøres af QR-koder, DataMatrix og UHF RFID (860-960 MHz), som sikrer interoperabilitet på tværs af producenter i overensstemmelse med ISO/IEC-standarderne. Den nye EU-forordning ESPR gør DPP obligatorisk for de første produktgrupper fra 2027. CONEXO 2025 er forberedt til at behandle sådanne data og knytte dem til Asset Administration Shell (AAS). Maskinlæsbare identifikationslinks i overensstemmelse med IEC 61406 fungerer som en URL-baseret reference direkte på det fysiske objekt og giver adgang til digitale informationer, f.eks. via 2D-koder eller NFC-tags. Derudover bruger CONEXO AAS som producentuafhængig standard for digitale tvillinger i Industri 4.0 og satser på det åbne filformat AASX til at lette udvekslingen mellem driftsansvarlige, producenter og servicepartnere.</w:t>
      </w:r>
    </w:p>
    <w:p w14:paraId="2F5CA7D3" w14:textId="77777777" w:rsidR="0020346F" w:rsidRPr="0020346F" w:rsidRDefault="0020346F" w:rsidP="0020346F">
      <w:pPr>
        <w:spacing w:line="360" w:lineRule="auto"/>
        <w:rPr>
          <w:lang w:val="sv-SE"/>
        </w:rPr>
      </w:pPr>
    </w:p>
    <w:p w14:paraId="416210BE" w14:textId="77777777" w:rsidR="0020346F" w:rsidRPr="0020346F" w:rsidRDefault="0020346F" w:rsidP="0020346F">
      <w:pPr>
        <w:spacing w:line="360" w:lineRule="auto"/>
        <w:rPr>
          <w:b/>
          <w:bCs/>
          <w:lang w:val="sv-SE"/>
        </w:rPr>
      </w:pPr>
      <w:r>
        <w:rPr>
          <w:rFonts w:eastAsiaTheme="minorEastAsia" w:cstheme="minorBidi"/>
          <w:b/>
          <w:lang w:val="da-DK"/>
        </w:rPr>
        <w:t>Nye funktioner med CONEXO 2025</w:t>
      </w:r>
    </w:p>
    <w:p w14:paraId="6A29227C" w14:textId="77777777" w:rsidR="0020346F" w:rsidRPr="0020346F" w:rsidRDefault="0020346F" w:rsidP="0020346F">
      <w:pPr>
        <w:spacing w:line="360" w:lineRule="auto"/>
        <w:rPr>
          <w:lang w:val="sv-SE"/>
        </w:rPr>
      </w:pPr>
      <w:r>
        <w:rPr>
          <w:rFonts w:eastAsiaTheme="minorEastAsia" w:cstheme="minorBidi"/>
          <w:lang w:val="da-DK"/>
        </w:rPr>
        <w:t xml:space="preserve">CONEXO 2025 består af en lang række nye funktioner, der gør digital anlægsstyring endnu mere effektiv og fremtidssikret. Når det gælder forældelsesstyring, gør løsningen det muligt at opdage kritiske forhold som tilbagekaldelser eller produktophør på et tidligt tidspunkt og opretter automatisk passende udskiftningsopgaver. Komponentadministrationen er blevet udvidet betydeligt: Alias-navne giver mulighed for individuelle betegnelser, lokationsstier viser den nøjagtige installationssituation, komplette moduler kan nu </w:t>
      </w:r>
      <w:r>
        <w:rPr>
          <w:rFonts w:eastAsiaTheme="minorEastAsia" w:cstheme="minorBidi"/>
          <w:lang w:val="da-DK"/>
        </w:rPr>
        <w:lastRenderedPageBreak/>
        <w:t>fjernes i stort antal, alle tilknyttede dokumenter kan downloades som ZIP-filer, og identifikationen af emballagemærkninger er forbedret.</w:t>
      </w:r>
    </w:p>
    <w:p w14:paraId="471CEA9B" w14:textId="77777777" w:rsidR="0020346F" w:rsidRDefault="0020346F" w:rsidP="0020346F">
      <w:pPr>
        <w:spacing w:line="360" w:lineRule="auto"/>
        <w:rPr>
          <w:rFonts w:eastAsiaTheme="minorEastAsia" w:cstheme="minorBidi"/>
          <w:lang w:val="da-DK"/>
        </w:rPr>
      </w:pPr>
      <w:r>
        <w:rPr>
          <w:rFonts w:eastAsiaTheme="minorEastAsia" w:cstheme="minorBidi"/>
          <w:lang w:val="da-DK"/>
        </w:rPr>
        <w:t>Også administrationen af tekniske pladser er blevet optimeret. For hver plads kan der genereres en QR-kode, og den robuste import/eksport med "Identification Alias" sikrer en problemfri dataoverførsel. Vedligeholdelsesopgaver kan nu suppleres med delopgaver, en kalendervisning letter planlægningen, og interne såvel som eksterne noter giver ekstra plads til informationer. I produktadministrationen understøtter CONEXO 2025 Excel-import og giver mulighed for at tilføje egne producentattributter. En ny oversigt over mobile enheder viser alle tilknyttede enheder inklusive deres informationer og synkroniseringsstatus – så du får maksimal gennemsigtighed og kontrol.</w:t>
      </w:r>
    </w:p>
    <w:p w14:paraId="0B840390" w14:textId="77777777" w:rsidR="0020346F" w:rsidRPr="0020346F" w:rsidRDefault="0020346F" w:rsidP="0020346F">
      <w:pPr>
        <w:spacing w:line="360" w:lineRule="auto"/>
        <w:rPr>
          <w:lang w:val="da-DK"/>
        </w:rPr>
      </w:pPr>
    </w:p>
    <w:p w14:paraId="3B6103F1" w14:textId="77777777" w:rsidR="0020346F" w:rsidRPr="0020346F" w:rsidRDefault="0020346F" w:rsidP="0020346F">
      <w:pPr>
        <w:spacing w:line="360" w:lineRule="auto"/>
        <w:rPr>
          <w:b/>
          <w:bCs/>
          <w:lang w:val="da-DK"/>
        </w:rPr>
      </w:pPr>
      <w:r>
        <w:rPr>
          <w:rFonts w:eastAsiaTheme="minorEastAsia" w:cstheme="minorBidi"/>
          <w:b/>
          <w:lang w:val="da-DK"/>
        </w:rPr>
        <w:t>Merværdi</w:t>
      </w:r>
    </w:p>
    <w:p w14:paraId="13E100E8" w14:textId="77777777" w:rsidR="0020346F" w:rsidRPr="0020346F" w:rsidRDefault="0020346F" w:rsidP="0020346F">
      <w:pPr>
        <w:spacing w:line="360" w:lineRule="auto"/>
        <w:rPr>
          <w:lang w:val="da-DK"/>
        </w:rPr>
      </w:pPr>
      <w:r>
        <w:rPr>
          <w:rFonts w:eastAsiaTheme="minorEastAsia" w:cstheme="minorBidi"/>
          <w:lang w:val="da-DK"/>
        </w:rPr>
        <w:t>Brugerne drager fordel af CONEXO 2025 gennem et markant løft i sikkerhed og compliance: Den entydige identifikation af komponenter samt den komplette dokumentation af alle foranstaltninger reducerer risici og letter audits – helt ned til tilbagekaldelser og krav om certifikater. Samtidig øger løsningen produktiviteten inden for service og vedligeholdelse ved at minimere søgetider, eliminere brud i det digitale informationsflow og muliggøre en højere førstegangsløsningskvote ("Right First Time"). Takket være den skalerbare kombination af fysiske mærkningsmetoder som QR-kode, RFID og IEC 61406 med digitale tvillinger (AAS/AASX) og Digital Product Passport (DPP) er CONEXO 2025 ideelt rustet til fremtidige krav – på tværs af alle producenter og med åben systemarkitektur.</w:t>
      </w:r>
    </w:p>
    <w:p w14:paraId="39EC7B48" w14:textId="77777777" w:rsidR="0020346F" w:rsidRPr="0020346F" w:rsidRDefault="0020346F" w:rsidP="0020346F">
      <w:pPr>
        <w:spacing w:line="360" w:lineRule="auto"/>
        <w:rPr>
          <w:lang w:val="sv-SE"/>
        </w:rPr>
      </w:pPr>
      <w:r>
        <w:rPr>
          <w:rFonts w:eastAsiaTheme="minorEastAsia" w:cstheme="minorBidi"/>
          <w:lang w:val="da-DK"/>
        </w:rPr>
        <w:t>Med CONEXO 2025 tilbyder GEMÜ en effektiv og fremtidssikret løsning til digital anlægsstyring, der imødekommer de stigende krav til gennemsigtighed, effektivitet og overensstemmelse med standarder og dermed baner vejen for en ny æra inden for industriel digitalisering.</w:t>
      </w:r>
    </w:p>
    <w:p w14:paraId="7B0DFB4F" w14:textId="77777777" w:rsidR="000B7CB3" w:rsidRPr="009F0858" w:rsidRDefault="000B7CB3" w:rsidP="00F3788D">
      <w:pPr>
        <w:autoSpaceDE w:val="0"/>
        <w:autoSpaceDN w:val="0"/>
        <w:adjustRightInd w:val="0"/>
        <w:spacing w:line="360" w:lineRule="auto"/>
        <w:rPr>
          <w:rFonts w:cs="Arial"/>
          <w:b/>
          <w:lang w:val="sv-SE"/>
        </w:rPr>
      </w:pPr>
    </w:p>
    <w:p w14:paraId="738269E9" w14:textId="07ABB26F" w:rsidR="00844EA8" w:rsidRDefault="00D66BD8" w:rsidP="0020346F">
      <w:pPr>
        <w:autoSpaceDE w:val="0"/>
        <w:autoSpaceDN w:val="0"/>
        <w:spacing w:line="360" w:lineRule="auto"/>
        <w:rPr>
          <w:rFonts w:cs="Arial"/>
          <w:lang w:val="sv-SE"/>
        </w:rPr>
      </w:pPr>
      <w:r>
        <w:rPr>
          <w:rFonts w:cs="Arial"/>
          <w:b/>
          <w:bCs/>
          <w:lang w:val="sv-SE"/>
        </w:rPr>
        <w:t>Om os</w:t>
      </w:r>
      <w:r w:rsidR="007A7971" w:rsidRPr="007A7971">
        <w:rPr>
          <w:rFonts w:cs="Arial"/>
          <w:b/>
          <w:bCs/>
          <w:lang w:val="sv-SE"/>
        </w:rPr>
        <w:br/>
      </w:r>
      <w:r w:rsidR="007A7971" w:rsidRPr="007A7971">
        <w:rPr>
          <w:rFonts w:cs="Arial"/>
          <w:lang w:val="sv-SE"/>
        </w:rPr>
        <w:br/>
      </w:r>
      <w:r w:rsidR="007A7971" w:rsidRPr="007A7971">
        <w:rPr>
          <w:rFonts w:cs="Arial"/>
          <w:shd w:val="clear" w:color="auto" w:fill="FFFFFF"/>
          <w:lang w:val="sv-SE"/>
        </w:rPr>
        <w:t xml:space="preserve">GEMÜ-gruppen </w:t>
      </w:r>
      <w:proofErr w:type="spellStart"/>
      <w:r w:rsidR="007A7971" w:rsidRPr="007A7971">
        <w:rPr>
          <w:rFonts w:cs="Arial"/>
          <w:shd w:val="clear" w:color="auto" w:fill="FFFFFF"/>
          <w:lang w:val="sv-SE"/>
        </w:rPr>
        <w:t>udvikler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producerer</w:t>
      </w:r>
      <w:proofErr w:type="spellEnd"/>
      <w:r w:rsidR="007A7971" w:rsidRPr="007A7971">
        <w:rPr>
          <w:rFonts w:cs="Arial"/>
          <w:shd w:val="clear" w:color="auto" w:fill="FFFFFF"/>
          <w:lang w:val="sv-SE"/>
        </w:rPr>
        <w:t xml:space="preserve"> ventil-, </w:t>
      </w:r>
      <w:proofErr w:type="spellStart"/>
      <w:r w:rsidR="007A7971" w:rsidRPr="007A7971">
        <w:rPr>
          <w:rFonts w:cs="Arial"/>
          <w:shd w:val="clear" w:color="auto" w:fill="FFFFFF"/>
          <w:lang w:val="sv-SE"/>
        </w:rPr>
        <w:t>måle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reguleringssystemer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til</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væsker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dampe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gasser</w:t>
      </w:r>
      <w:proofErr w:type="spellEnd"/>
      <w:r w:rsidR="007A7971" w:rsidRPr="007A7971">
        <w:rPr>
          <w:rFonts w:cs="Arial"/>
          <w:shd w:val="clear" w:color="auto" w:fill="FFFFFF"/>
          <w:lang w:val="sv-SE"/>
        </w:rPr>
        <w:t xml:space="preserve">. Når det </w:t>
      </w:r>
      <w:proofErr w:type="spellStart"/>
      <w:r w:rsidR="007A7971" w:rsidRPr="007A7971">
        <w:rPr>
          <w:rFonts w:cs="Arial"/>
          <w:shd w:val="clear" w:color="auto" w:fill="FFFFFF"/>
          <w:lang w:val="sv-SE"/>
        </w:rPr>
        <w:t>gælder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løsninger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til</w:t>
      </w:r>
      <w:proofErr w:type="spellEnd"/>
      <w:r w:rsidR="007A7971" w:rsidRPr="007A7971">
        <w:rPr>
          <w:rFonts w:cs="Arial"/>
          <w:shd w:val="clear" w:color="auto" w:fill="FFFFFF"/>
          <w:lang w:val="sv-SE"/>
        </w:rPr>
        <w:t xml:space="preserve"> sterile processer, er </w:t>
      </w:r>
      <w:proofErr w:type="spellStart"/>
      <w:r w:rsidR="007A7971" w:rsidRPr="007A7971">
        <w:rPr>
          <w:rFonts w:cs="Arial"/>
          <w:shd w:val="clear" w:color="auto" w:fill="FFFFFF"/>
          <w:lang w:val="sv-SE"/>
        </w:rPr>
        <w:t>virksomheden</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førende</w:t>
      </w:r>
      <w:proofErr w:type="spellEnd"/>
      <w:r w:rsidR="007A7971" w:rsidRPr="007A7971">
        <w:rPr>
          <w:rFonts w:cs="Arial"/>
          <w:shd w:val="clear" w:color="auto" w:fill="FFFFFF"/>
          <w:lang w:val="sv-SE"/>
        </w:rPr>
        <w:t xml:space="preserve"> på </w:t>
      </w:r>
      <w:proofErr w:type="spellStart"/>
      <w:r w:rsidR="007A7971" w:rsidRPr="007A7971">
        <w:rPr>
          <w:rFonts w:cs="Arial"/>
          <w:shd w:val="clear" w:color="auto" w:fill="FFFFFF"/>
          <w:lang w:val="sv-SE"/>
        </w:rPr>
        <w:t>markedet</w:t>
      </w:r>
      <w:proofErr w:type="spellEnd"/>
      <w:r w:rsidR="007A7971" w:rsidRPr="007A7971">
        <w:rPr>
          <w:rFonts w:cs="Arial"/>
          <w:shd w:val="clear" w:color="auto" w:fill="FFFFFF"/>
          <w:lang w:val="sv-SE"/>
        </w:rPr>
        <w:t xml:space="preserve">. Den globalt </w:t>
      </w:r>
      <w:proofErr w:type="spellStart"/>
      <w:r w:rsidR="007A7971" w:rsidRPr="007A7971">
        <w:rPr>
          <w:rFonts w:cs="Arial"/>
          <w:shd w:val="clear" w:color="auto" w:fill="FFFFFF"/>
          <w:lang w:val="sv-SE"/>
        </w:rPr>
        <w:t>orienterede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uafhængige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familievirksomhed</w:t>
      </w:r>
      <w:proofErr w:type="spellEnd"/>
      <w:r w:rsidR="007A7971" w:rsidRPr="007A7971">
        <w:rPr>
          <w:rFonts w:cs="Arial"/>
          <w:shd w:val="clear" w:color="auto" w:fill="FFFFFF"/>
          <w:lang w:val="sv-SE"/>
        </w:rPr>
        <w:t xml:space="preserve"> blev grundlagt i 1964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har siden 2011 </w:t>
      </w:r>
      <w:proofErr w:type="spellStart"/>
      <w:r w:rsidR="007A7971" w:rsidRPr="007A7971">
        <w:rPr>
          <w:rFonts w:cs="Arial"/>
          <w:shd w:val="clear" w:color="auto" w:fill="FFFFFF"/>
          <w:lang w:val="sv-SE"/>
        </w:rPr>
        <w:t>været</w:t>
      </w:r>
      <w:proofErr w:type="spellEnd"/>
      <w:r w:rsidR="007A7971" w:rsidRPr="007A7971">
        <w:rPr>
          <w:rFonts w:cs="Arial"/>
          <w:shd w:val="clear" w:color="auto" w:fill="FFFFFF"/>
          <w:lang w:val="sv-SE"/>
        </w:rPr>
        <w:t xml:space="preserve"> ledet i anden generation </w:t>
      </w:r>
      <w:proofErr w:type="spellStart"/>
      <w:r w:rsidR="007A7971" w:rsidRPr="007A7971">
        <w:rPr>
          <w:rFonts w:cs="Arial"/>
          <w:shd w:val="clear" w:color="auto" w:fill="FFFFFF"/>
          <w:lang w:val="sv-SE"/>
        </w:rPr>
        <w:t>af</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administrerede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direktør</w:t>
      </w:r>
      <w:proofErr w:type="spellEnd"/>
      <w:r w:rsidR="007A7971" w:rsidRPr="007A7971">
        <w:rPr>
          <w:rFonts w:cs="Arial"/>
          <w:shd w:val="clear" w:color="auto" w:fill="FFFFFF"/>
          <w:lang w:val="sv-SE"/>
        </w:rPr>
        <w:t xml:space="preserve"> Gert Müller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hans </w:t>
      </w:r>
      <w:proofErr w:type="spellStart"/>
      <w:r w:rsidR="007A7971" w:rsidRPr="007A7971">
        <w:rPr>
          <w:rFonts w:cs="Arial"/>
          <w:shd w:val="clear" w:color="auto" w:fill="FFFFFF"/>
          <w:lang w:val="sv-SE"/>
        </w:rPr>
        <w:t>fætter</w:t>
      </w:r>
      <w:proofErr w:type="spellEnd"/>
      <w:r w:rsidR="007A7971" w:rsidRPr="007A7971">
        <w:rPr>
          <w:rFonts w:cs="Arial"/>
          <w:shd w:val="clear" w:color="auto" w:fill="FFFFFF"/>
          <w:lang w:val="sv-SE"/>
        </w:rPr>
        <w:t xml:space="preserve"> Stephan Müller. </w:t>
      </w:r>
      <w:r w:rsidR="003E6952">
        <w:rPr>
          <w:rFonts w:cs="Arial"/>
          <w:lang w:val="da-DK"/>
        </w:rPr>
        <w:t>Virksomhedsgruppen opnåede en omsætning på mere end 5</w:t>
      </w:r>
      <w:r w:rsidR="00DA7697">
        <w:rPr>
          <w:rFonts w:cs="Arial"/>
          <w:lang w:val="da-DK"/>
        </w:rPr>
        <w:t>25</w:t>
      </w:r>
      <w:r w:rsidR="003E6952">
        <w:rPr>
          <w:rFonts w:cs="Arial"/>
          <w:lang w:val="da-DK"/>
        </w:rPr>
        <w:t xml:space="preserve"> millioner euro i 202</w:t>
      </w:r>
      <w:r w:rsidR="00DA7697">
        <w:rPr>
          <w:rFonts w:cs="Arial"/>
          <w:lang w:val="da-DK"/>
        </w:rPr>
        <w:t>4</w:t>
      </w:r>
      <w:r w:rsidR="003E6952">
        <w:rPr>
          <w:rFonts w:cs="Arial"/>
          <w:lang w:val="da-DK"/>
        </w:rPr>
        <w:t xml:space="preserve"> og beskæftiger i dag mere end 2.500 medarbejdere på verdensplan, heraf ca. 1.400 i Tyskland. Produktionen sker på otte lokaliteter: Ud over produktionsstederne i Tyskland producerer GEMÜ sine produkter i Brasilien, Kina, Frankrig, Indien, Schweiz og USA. Salget på verdensplan sker via 25 datterselskaber og koordineres fra Tyskland. GEMÜ er aktiv i mere end 50 lande på alle kontinenter via et fintmasket forhandlernetværk.  </w:t>
      </w:r>
      <w:r w:rsidR="007A7971" w:rsidRPr="007A7971">
        <w:rPr>
          <w:rFonts w:cs="Arial"/>
          <w:lang w:val="sv-SE"/>
        </w:rPr>
        <w:br/>
      </w:r>
      <w:proofErr w:type="spellStart"/>
      <w:r w:rsidR="007A7971" w:rsidRPr="003E6952">
        <w:rPr>
          <w:rFonts w:cs="Arial"/>
          <w:shd w:val="clear" w:color="auto" w:fill="FFFFFF"/>
          <w:lang w:val="sv-SE"/>
        </w:rPr>
        <w:t>Yderligere</w:t>
      </w:r>
      <w:proofErr w:type="spellEnd"/>
      <w:r w:rsidR="007A7971" w:rsidRPr="003E6952">
        <w:rPr>
          <w:rFonts w:cs="Arial"/>
          <w:shd w:val="clear" w:color="auto" w:fill="FFFFFF"/>
          <w:lang w:val="sv-SE"/>
        </w:rPr>
        <w:t xml:space="preserve"> information </w:t>
      </w:r>
      <w:proofErr w:type="spellStart"/>
      <w:r w:rsidR="007A7971" w:rsidRPr="003E6952">
        <w:rPr>
          <w:rFonts w:cs="Arial"/>
          <w:shd w:val="clear" w:color="auto" w:fill="FFFFFF"/>
          <w:lang w:val="sv-SE"/>
        </w:rPr>
        <w:t>finder</w:t>
      </w:r>
      <w:proofErr w:type="spellEnd"/>
      <w:r w:rsidR="007A7971" w:rsidRPr="003E6952">
        <w:rPr>
          <w:rFonts w:cs="Arial"/>
          <w:shd w:val="clear" w:color="auto" w:fill="FFFFFF"/>
          <w:lang w:val="sv-SE"/>
        </w:rPr>
        <w:t xml:space="preserve"> du under </w:t>
      </w:r>
      <w:hyperlink r:id="rId14" w:tgtFrame="_top" w:tooltip="https://www.gemu-group.com" w:history="1">
        <w:r w:rsidR="007A7971" w:rsidRPr="003E6952">
          <w:rPr>
            <w:rStyle w:val="Hyperlink"/>
            <w:rFonts w:cs="Arial"/>
            <w:color w:val="auto"/>
            <w:lang w:val="sv-SE"/>
          </w:rPr>
          <w:t>gemu-group.com</w:t>
        </w:r>
      </w:hyperlink>
    </w:p>
    <w:sectPr w:rsidR="00844EA8"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D4C36" w14:textId="77777777" w:rsidR="00DD60B0" w:rsidRDefault="00DD60B0">
      <w:r>
        <w:separator/>
      </w:r>
    </w:p>
  </w:endnote>
  <w:endnote w:type="continuationSeparator" w:id="0">
    <w:p w14:paraId="6BD5074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8706" w14:textId="77777777" w:rsidR="00844EA8" w:rsidRPr="004951EC" w:rsidRDefault="00844EA8" w:rsidP="00844EA8">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3C27D8BB" w14:textId="77777777" w:rsidR="00844EA8" w:rsidRDefault="00844EA8" w:rsidP="00844EA8">
    <w:pPr>
      <w:pStyle w:val="Webseite"/>
      <w:rPr>
        <w:b w:val="0"/>
        <w:bCs/>
        <w:color w:val="auto"/>
        <w:lang w:val="en-US"/>
      </w:rPr>
    </w:pPr>
    <w:r w:rsidRPr="000E2FB8">
      <w:rPr>
        <w:b w:val="0"/>
        <w:bCs/>
        <w:color w:val="auto"/>
        <w:lang w:val="en-US"/>
      </w:rPr>
      <w:t xml:space="preserve">Phone: +49 7940 123-0 </w:t>
    </w:r>
  </w:p>
  <w:p w14:paraId="5FB258D2" w14:textId="77777777" w:rsidR="00844EA8" w:rsidRPr="000E2FB8" w:rsidRDefault="00844EA8" w:rsidP="00844EA8">
    <w:pPr>
      <w:pStyle w:val="Webseite"/>
      <w:rPr>
        <w:b w:val="0"/>
        <w:bCs/>
        <w:color w:val="auto"/>
        <w:lang w:val="en-US"/>
      </w:rPr>
    </w:pPr>
    <w:r>
      <w:rPr>
        <w:b w:val="0"/>
        <w:bCs/>
        <w:color w:val="auto"/>
        <w:lang w:val="en-US"/>
      </w:rPr>
      <w:t>gemu-group.com</w:t>
    </w:r>
  </w:p>
  <w:p w14:paraId="580656CA" w14:textId="77777777" w:rsidR="00844EA8" w:rsidRPr="00BA7E08" w:rsidRDefault="00844EA8" w:rsidP="00844EA8">
    <w:pPr>
      <w:pStyle w:val="Webseite"/>
      <w:rPr>
        <w:color w:val="A6A6A6" w:themeColor="background1" w:themeShade="A6"/>
        <w:sz w:val="12"/>
        <w:szCs w:val="12"/>
        <w:lang w:val="en-US"/>
      </w:rPr>
    </w:pPr>
  </w:p>
  <w:p w14:paraId="063C6FCF" w14:textId="77777777" w:rsidR="00844EA8" w:rsidRPr="000E2FB8" w:rsidRDefault="00844EA8" w:rsidP="00844EA8">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844EA8">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579A054E" w14:textId="77777777" w:rsidR="00844EA8" w:rsidRPr="00844EA8" w:rsidRDefault="00844EA8" w:rsidP="00844EA8">
    <w:pPr>
      <w:pStyle w:val="Fuzeile"/>
      <w:spacing w:line="240" w:lineRule="auto"/>
      <w:rPr>
        <w:color w:val="A6A6A6" w:themeColor="background1" w:themeShade="A6"/>
        <w:sz w:val="10"/>
        <w:szCs w:val="10"/>
        <w:lang w:val="en-US"/>
      </w:rPr>
    </w:pPr>
    <w:r w:rsidRPr="00844EA8">
      <w:rPr>
        <w:color w:val="A6A6A6" w:themeColor="background1" w:themeShade="A6"/>
        <w:sz w:val="10"/>
        <w:szCs w:val="10"/>
        <w:lang w:val="en-US"/>
      </w:rPr>
      <w:t>Managing Directors: Gert Müller, Stephan Müller, Matthias Fick</w:t>
    </w:r>
  </w:p>
  <w:p w14:paraId="4ACA6883" w14:textId="77777777" w:rsidR="00844EA8" w:rsidRPr="000E2FB8" w:rsidRDefault="00844EA8" w:rsidP="00844EA8">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6A62E5C3"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E6D0" w14:textId="5FAAA8C6" w:rsidR="00DF0B01" w:rsidRPr="004951EC" w:rsidRDefault="00DF0B01" w:rsidP="00BC51EA">
    <w:pPr>
      <w:pStyle w:val="Fuzeile"/>
      <w:spacing w:line="240" w:lineRule="auto"/>
    </w:pPr>
    <w:r w:rsidRPr="000E2FB8">
      <w:rPr>
        <w:b w:val="0"/>
        <w:bCs/>
      </w:rPr>
      <w:t xml:space="preserve">GEMÜ Gebr. Müller Apparatebau GmbH &amp; Co. </w:t>
    </w:r>
    <w:r w:rsidRPr="004951EC">
      <w:rPr>
        <w:b w:val="0"/>
        <w:bCs/>
      </w:rPr>
      <w:t xml:space="preserve">KG • </w:t>
    </w:r>
    <w:r w:rsidR="004951EC" w:rsidRPr="004951EC">
      <w:rPr>
        <w:b w:val="0"/>
        <w:bCs/>
      </w:rPr>
      <w:t>Gert-Müller-Platz 1</w:t>
    </w:r>
    <w:r w:rsidRPr="004951EC">
      <w:rPr>
        <w:b w:val="0"/>
        <w:bCs/>
      </w:rPr>
      <w:t xml:space="preserve"> • 7463</w:t>
    </w:r>
    <w:r w:rsidR="004951EC" w:rsidRPr="004951EC">
      <w:rPr>
        <w:b w:val="0"/>
        <w:bCs/>
      </w:rPr>
      <w:t>5</w:t>
    </w:r>
    <w:r w:rsidRPr="004951EC">
      <w:rPr>
        <w:b w:val="0"/>
        <w:bCs/>
      </w:rPr>
      <w:t xml:space="preserve"> </w:t>
    </w:r>
    <w:r w:rsidR="004951EC">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rsidR="003E2383" w:rsidRPr="004951EC">
      <w:rPr>
        <w:noProof/>
      </w:rPr>
      <w:t>1</w:t>
    </w:r>
    <w:r>
      <w:fldChar w:fldCharType="end"/>
    </w:r>
    <w:r w:rsidR="00CA1E52" w:rsidRPr="004951EC">
      <w:t xml:space="preserve"> </w:t>
    </w:r>
    <w:proofErr w:type="spellStart"/>
    <w:r w:rsidR="00CA1E52" w:rsidRPr="004951EC">
      <w:t>of</w:t>
    </w:r>
    <w:proofErr w:type="spellEnd"/>
    <w:r w:rsidRPr="004951EC">
      <w:t xml:space="preserve"> </w:t>
    </w:r>
    <w:r w:rsidR="00DC35B3">
      <w:fldChar w:fldCharType="begin"/>
    </w:r>
    <w:r w:rsidR="00DC35B3" w:rsidRPr="004951EC">
      <w:instrText>NUMPAGES  \* Arabic  \* MERGEFORMAT</w:instrText>
    </w:r>
    <w:r w:rsidR="00DC35B3">
      <w:fldChar w:fldCharType="separate"/>
    </w:r>
    <w:r w:rsidR="003E2383" w:rsidRPr="004951EC">
      <w:rPr>
        <w:noProof/>
      </w:rPr>
      <w:t>2</w:t>
    </w:r>
    <w:r w:rsidR="00DC35B3">
      <w:rPr>
        <w:noProof/>
      </w:rPr>
      <w:fldChar w:fldCharType="end"/>
    </w:r>
  </w:p>
  <w:p w14:paraId="268D97D7" w14:textId="492F82EC" w:rsidR="000E2FB8" w:rsidRDefault="00DF0B01" w:rsidP="00BC51EA">
    <w:pPr>
      <w:pStyle w:val="Webseite"/>
      <w:rPr>
        <w:b w:val="0"/>
        <w:bCs/>
        <w:color w:val="auto"/>
        <w:lang w:val="en-US"/>
      </w:rPr>
    </w:pPr>
    <w:r w:rsidRPr="000E2FB8">
      <w:rPr>
        <w:b w:val="0"/>
        <w:bCs/>
        <w:color w:val="auto"/>
        <w:lang w:val="en-US"/>
      </w:rPr>
      <w:t xml:space="preserve">Phone: +49 7940 123-0 </w:t>
    </w:r>
  </w:p>
  <w:p w14:paraId="1EE3D2CD" w14:textId="006C66D2" w:rsidR="000E2FB8" w:rsidRPr="000E2FB8" w:rsidRDefault="000E2FB8" w:rsidP="00BC51EA">
    <w:pPr>
      <w:pStyle w:val="Webseite"/>
      <w:rPr>
        <w:b w:val="0"/>
        <w:bCs/>
        <w:color w:val="auto"/>
        <w:lang w:val="en-US"/>
      </w:rPr>
    </w:pPr>
    <w:r>
      <w:rPr>
        <w:b w:val="0"/>
        <w:bCs/>
        <w:color w:val="auto"/>
        <w:lang w:val="en-US"/>
      </w:rPr>
      <w:t>gemu-group.com</w:t>
    </w:r>
  </w:p>
  <w:p w14:paraId="46E32E9B" w14:textId="2CFD9B5B" w:rsidR="00DF0B01" w:rsidRPr="00BA7E08" w:rsidRDefault="00DF0B01" w:rsidP="00BC51EA">
    <w:pPr>
      <w:pStyle w:val="Webseite"/>
      <w:rPr>
        <w:color w:val="A6A6A6" w:themeColor="background1" w:themeShade="A6"/>
        <w:sz w:val="12"/>
        <w:szCs w:val="12"/>
        <w:lang w:val="en-US"/>
      </w:rPr>
    </w:pPr>
  </w:p>
  <w:p w14:paraId="147FC521" w14:textId="133FCBEC" w:rsidR="00DF0B01" w:rsidRPr="000E2FB8" w:rsidRDefault="00DF0B01" w:rsidP="00BC51EA">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sidR="004951EC">
      <w:rPr>
        <w:color w:val="A6A6A6" w:themeColor="background1" w:themeShade="A6"/>
        <w:sz w:val="10"/>
        <w:szCs w:val="10"/>
        <w:lang w:val="en-US"/>
      </w:rPr>
      <w:t>5</w:t>
    </w:r>
    <w:r w:rsidRPr="000E2FB8">
      <w:rPr>
        <w:color w:val="A6A6A6" w:themeColor="background1" w:themeShade="A6"/>
        <w:sz w:val="10"/>
        <w:szCs w:val="10"/>
        <w:lang w:val="en-US"/>
      </w:rPr>
      <w:t xml:space="preserve"> </w:t>
    </w:r>
    <w:r w:rsidR="004951EC">
      <w:rPr>
        <w:color w:val="A6A6A6" w:themeColor="background1" w:themeShade="A6"/>
        <w:sz w:val="10"/>
        <w:szCs w:val="10"/>
        <w:lang w:val="en-US"/>
      </w:rPr>
      <w:t>Kupferzell, Germany</w:t>
    </w:r>
    <w:r w:rsidR="004951EC" w:rsidRPr="000E2FB8">
      <w:rPr>
        <w:color w:val="A6A6A6" w:themeColor="background1" w:themeShade="A6"/>
        <w:sz w:val="10"/>
        <w:szCs w:val="10"/>
        <w:lang w:val="en-US"/>
      </w:rPr>
      <w:t xml:space="preserve">; </w:t>
    </w:r>
    <w:r w:rsidRPr="000E2FB8">
      <w:rPr>
        <w:color w:val="A6A6A6" w:themeColor="background1" w:themeShade="A6"/>
        <w:sz w:val="10"/>
        <w:szCs w:val="10"/>
        <w:lang w:val="en-US"/>
      </w:rPr>
      <w:t>Stuttgart Court of Registry HRA 590394; Limited partner: Gebr. Müller GmbH</w:t>
    </w:r>
    <w:r w:rsidR="004951EC" w:rsidRPr="000E2FB8">
      <w:rPr>
        <w:color w:val="A6A6A6" w:themeColor="background1" w:themeShade="A6"/>
        <w:sz w:val="10"/>
        <w:szCs w:val="10"/>
        <w:lang w:val="en-US"/>
      </w:rPr>
      <w:t xml:space="preserve">; </w:t>
    </w:r>
    <w:r w:rsidRPr="000E2FB8">
      <w:rPr>
        <w:color w:val="A6A6A6" w:themeColor="background1" w:themeShade="A6"/>
        <w:sz w:val="10"/>
        <w:szCs w:val="10"/>
        <w:lang w:val="en-US"/>
      </w:rPr>
      <w:t>Stuttgart Court of Registry</w:t>
    </w:r>
    <w:r w:rsidR="004951EC" w:rsidRPr="0020346F">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04BA4E25" w14:textId="32A7C66C" w:rsidR="00DF0B01" w:rsidRPr="0020346F" w:rsidRDefault="00DF0B01" w:rsidP="00BC51EA">
    <w:pPr>
      <w:pStyle w:val="Fuzeile"/>
      <w:spacing w:line="240" w:lineRule="auto"/>
      <w:rPr>
        <w:color w:val="A6A6A6" w:themeColor="background1" w:themeShade="A6"/>
        <w:sz w:val="10"/>
        <w:szCs w:val="10"/>
        <w:lang w:val="en-US"/>
      </w:rPr>
    </w:pPr>
    <w:r w:rsidRPr="0020346F">
      <w:rPr>
        <w:color w:val="A6A6A6" w:themeColor="background1" w:themeShade="A6"/>
        <w:sz w:val="10"/>
        <w:szCs w:val="10"/>
        <w:lang w:val="en-US"/>
      </w:rPr>
      <w:t>Managing Directors: Gert Müller, Stephan Müller</w:t>
    </w:r>
    <w:r w:rsidR="00DB7CBE" w:rsidRPr="0020346F">
      <w:rPr>
        <w:color w:val="A6A6A6" w:themeColor="background1" w:themeShade="A6"/>
        <w:sz w:val="10"/>
        <w:szCs w:val="10"/>
        <w:lang w:val="en-US"/>
      </w:rPr>
      <w:t>, Matthias Fick</w:t>
    </w:r>
  </w:p>
  <w:p w14:paraId="7A549C08" w14:textId="77777777" w:rsidR="00DF0B01" w:rsidRPr="000E2FB8" w:rsidRDefault="00DF0B01" w:rsidP="00BC51EA">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1AF2E0C2" w14:textId="77777777" w:rsidR="00DF0B01" w:rsidRPr="000E2FB8" w:rsidRDefault="00DF0B01" w:rsidP="00BC51EA">
    <w:pPr>
      <w:pStyle w:val="Fuzeile"/>
      <w:spacing w:line="240" w:lineRule="auto"/>
      <w:rPr>
        <w:b w:val="0"/>
        <w:color w:val="A6A6A6" w:themeColor="background1" w:themeShade="A6"/>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44480" w14:textId="77777777" w:rsidR="00DD60B0" w:rsidRDefault="00DD60B0">
      <w:r>
        <w:separator/>
      </w:r>
    </w:p>
  </w:footnote>
  <w:footnote w:type="continuationSeparator" w:id="0">
    <w:p w14:paraId="37BF34BA"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B9B" w14:textId="77777777" w:rsidR="00DF0B01" w:rsidRDefault="00DF0B01" w:rsidP="008F1259">
    <w:pPr>
      <w:pStyle w:val="Kopfzeile"/>
      <w:tabs>
        <w:tab w:val="clear" w:pos="9072"/>
      </w:tabs>
      <w:ind w:right="-186"/>
      <w:jc w:val="right"/>
    </w:pPr>
  </w:p>
  <w:p w14:paraId="57E34715" w14:textId="5D35405A"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FE3569">
      <w:rPr>
        <w:noProof/>
      </w:rPr>
      <w:drawing>
        <wp:anchor distT="0" distB="0" distL="114300" distR="114300" simplePos="0" relativeHeight="251668992" behindDoc="0" locked="0" layoutInCell="1" allowOverlap="1" wp14:anchorId="5EF2B36B" wp14:editId="1FD9F5A0">
          <wp:simplePos x="0" y="0"/>
          <wp:positionH relativeFrom="margin">
            <wp:posOffset>0</wp:posOffset>
          </wp:positionH>
          <wp:positionV relativeFrom="margin">
            <wp:posOffset>-993140</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3CBFA" w14:textId="337CC461" w:rsidR="00DF0B01" w:rsidRDefault="004E6F58"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15104CB7" wp14:editId="2D5BD6B5">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62EEADE1" wp14:editId="4E817FF0">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85086" w14:textId="77777777" w:rsidR="00DF0B01" w:rsidRPr="005645ED" w:rsidRDefault="004D1792" w:rsidP="005645ED">
                          <w:pPr>
                            <w:pStyle w:val="Titel"/>
                            <w:rPr>
                              <w:b w:val="0"/>
                              <w:sz w:val="24"/>
                              <w:szCs w:val="24"/>
                            </w:rPr>
                          </w:pPr>
                          <w:proofErr w:type="spellStart"/>
                          <w:r>
                            <w:rPr>
                              <w:rFonts w:cs="Arial"/>
                              <w:sz w:val="22"/>
                            </w:rPr>
                            <w:t>Pressemeddelelse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EADE1"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40E85086" w14:textId="77777777" w:rsidR="00DF0B01" w:rsidRPr="005645ED" w:rsidRDefault="004D1792" w:rsidP="005645ED">
                    <w:pPr>
                      <w:pStyle w:val="Titel"/>
                      <w:rPr>
                        <w:b w:val="0"/>
                        <w:sz w:val="24"/>
                        <w:szCs w:val="24"/>
                      </w:rPr>
                    </w:pPr>
                    <w:proofErr w:type="spellStart"/>
                    <w:r>
                      <w:rPr>
                        <w:rFonts w:cs="Arial"/>
                        <w:sz w:val="22"/>
                      </w:rPr>
                      <w:t>Pressemeddelelse</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04256089">
    <w:abstractNumId w:val="0"/>
  </w:num>
  <w:num w:numId="2" w16cid:durableId="1822380629">
    <w:abstractNumId w:val="2"/>
  </w:num>
  <w:num w:numId="3" w16cid:durableId="1978531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1126E"/>
    <w:rsid w:val="000443E2"/>
    <w:rsid w:val="000460C8"/>
    <w:rsid w:val="00050DB0"/>
    <w:rsid w:val="000563C7"/>
    <w:rsid w:val="00076090"/>
    <w:rsid w:val="0009194C"/>
    <w:rsid w:val="00092213"/>
    <w:rsid w:val="000B788E"/>
    <w:rsid w:val="000B7CB3"/>
    <w:rsid w:val="000E12DC"/>
    <w:rsid w:val="000E2FB8"/>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4EFA"/>
    <w:rsid w:val="001F7B46"/>
    <w:rsid w:val="00202265"/>
    <w:rsid w:val="0020346F"/>
    <w:rsid w:val="0021145E"/>
    <w:rsid w:val="00213155"/>
    <w:rsid w:val="00232566"/>
    <w:rsid w:val="0023585A"/>
    <w:rsid w:val="00235AEA"/>
    <w:rsid w:val="00236275"/>
    <w:rsid w:val="00241CC1"/>
    <w:rsid w:val="002429B4"/>
    <w:rsid w:val="00251978"/>
    <w:rsid w:val="00257FC1"/>
    <w:rsid w:val="00294B5A"/>
    <w:rsid w:val="002A0855"/>
    <w:rsid w:val="002A204C"/>
    <w:rsid w:val="002B120B"/>
    <w:rsid w:val="002E5710"/>
    <w:rsid w:val="002E7BEE"/>
    <w:rsid w:val="00305F51"/>
    <w:rsid w:val="0031460C"/>
    <w:rsid w:val="0031563C"/>
    <w:rsid w:val="00316E53"/>
    <w:rsid w:val="00322CB1"/>
    <w:rsid w:val="00333604"/>
    <w:rsid w:val="00351701"/>
    <w:rsid w:val="00353F39"/>
    <w:rsid w:val="00360B23"/>
    <w:rsid w:val="00367283"/>
    <w:rsid w:val="00372B94"/>
    <w:rsid w:val="00375C23"/>
    <w:rsid w:val="0037695B"/>
    <w:rsid w:val="00376B3E"/>
    <w:rsid w:val="00382444"/>
    <w:rsid w:val="00383575"/>
    <w:rsid w:val="00383CC0"/>
    <w:rsid w:val="00390B46"/>
    <w:rsid w:val="00390F08"/>
    <w:rsid w:val="00397A53"/>
    <w:rsid w:val="003B2FE3"/>
    <w:rsid w:val="003B6A50"/>
    <w:rsid w:val="003E2383"/>
    <w:rsid w:val="003E6952"/>
    <w:rsid w:val="003E7BAE"/>
    <w:rsid w:val="003F2139"/>
    <w:rsid w:val="003F748A"/>
    <w:rsid w:val="00401E5B"/>
    <w:rsid w:val="0041214D"/>
    <w:rsid w:val="004138C6"/>
    <w:rsid w:val="00416142"/>
    <w:rsid w:val="004205AD"/>
    <w:rsid w:val="00427A8D"/>
    <w:rsid w:val="004673E1"/>
    <w:rsid w:val="0049316D"/>
    <w:rsid w:val="004951EC"/>
    <w:rsid w:val="00495A0D"/>
    <w:rsid w:val="004A01E1"/>
    <w:rsid w:val="004A5F7D"/>
    <w:rsid w:val="004A7A7E"/>
    <w:rsid w:val="004C0DE7"/>
    <w:rsid w:val="004C52F6"/>
    <w:rsid w:val="004C6A28"/>
    <w:rsid w:val="004D1792"/>
    <w:rsid w:val="004E6F5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769F3"/>
    <w:rsid w:val="00593F7F"/>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58DE"/>
    <w:rsid w:val="00766A2D"/>
    <w:rsid w:val="0079304E"/>
    <w:rsid w:val="00796322"/>
    <w:rsid w:val="00796C60"/>
    <w:rsid w:val="007A08CC"/>
    <w:rsid w:val="007A7971"/>
    <w:rsid w:val="007B2565"/>
    <w:rsid w:val="007B6EB1"/>
    <w:rsid w:val="007C1BD5"/>
    <w:rsid w:val="007C5A73"/>
    <w:rsid w:val="007D2487"/>
    <w:rsid w:val="007D52ED"/>
    <w:rsid w:val="007E392B"/>
    <w:rsid w:val="007E7946"/>
    <w:rsid w:val="008132C2"/>
    <w:rsid w:val="00817547"/>
    <w:rsid w:val="00817A18"/>
    <w:rsid w:val="008279E1"/>
    <w:rsid w:val="00827B88"/>
    <w:rsid w:val="00831819"/>
    <w:rsid w:val="00844EA8"/>
    <w:rsid w:val="008544E3"/>
    <w:rsid w:val="00856DA1"/>
    <w:rsid w:val="00874B37"/>
    <w:rsid w:val="0087704F"/>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3929"/>
    <w:rsid w:val="009879D4"/>
    <w:rsid w:val="00994B2C"/>
    <w:rsid w:val="009A16D4"/>
    <w:rsid w:val="009A501D"/>
    <w:rsid w:val="009C4B9E"/>
    <w:rsid w:val="009C5F91"/>
    <w:rsid w:val="009C725F"/>
    <w:rsid w:val="009D061B"/>
    <w:rsid w:val="009D220E"/>
    <w:rsid w:val="009E0140"/>
    <w:rsid w:val="009E13CF"/>
    <w:rsid w:val="009F0858"/>
    <w:rsid w:val="009F089C"/>
    <w:rsid w:val="00A01290"/>
    <w:rsid w:val="00A039F4"/>
    <w:rsid w:val="00A10CE8"/>
    <w:rsid w:val="00A11BEC"/>
    <w:rsid w:val="00A11D75"/>
    <w:rsid w:val="00A14AE6"/>
    <w:rsid w:val="00A2046B"/>
    <w:rsid w:val="00A23B3F"/>
    <w:rsid w:val="00A274B9"/>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E6810"/>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08D0"/>
    <w:rsid w:val="00C72D6F"/>
    <w:rsid w:val="00C777A1"/>
    <w:rsid w:val="00C84658"/>
    <w:rsid w:val="00CA1E52"/>
    <w:rsid w:val="00CA3B5D"/>
    <w:rsid w:val="00CB2266"/>
    <w:rsid w:val="00CC0271"/>
    <w:rsid w:val="00CC0E0C"/>
    <w:rsid w:val="00CC1849"/>
    <w:rsid w:val="00CE0856"/>
    <w:rsid w:val="00CE54FD"/>
    <w:rsid w:val="00D251F2"/>
    <w:rsid w:val="00D53929"/>
    <w:rsid w:val="00D56435"/>
    <w:rsid w:val="00D619B7"/>
    <w:rsid w:val="00D61F5D"/>
    <w:rsid w:val="00D66BD8"/>
    <w:rsid w:val="00D92FED"/>
    <w:rsid w:val="00DA00AF"/>
    <w:rsid w:val="00DA55EA"/>
    <w:rsid w:val="00DA5BCB"/>
    <w:rsid w:val="00DA7697"/>
    <w:rsid w:val="00DB2188"/>
    <w:rsid w:val="00DB52D9"/>
    <w:rsid w:val="00DB7CBE"/>
    <w:rsid w:val="00DC0DEF"/>
    <w:rsid w:val="00DC21D0"/>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A0C47"/>
    <w:rsid w:val="00EB59E1"/>
    <w:rsid w:val="00EC1E5E"/>
    <w:rsid w:val="00EC29F4"/>
    <w:rsid w:val="00ED4841"/>
    <w:rsid w:val="00EF5A6D"/>
    <w:rsid w:val="00EF626D"/>
    <w:rsid w:val="00EF7DC5"/>
    <w:rsid w:val="00F01865"/>
    <w:rsid w:val="00F1417C"/>
    <w:rsid w:val="00F3788D"/>
    <w:rsid w:val="00F40475"/>
    <w:rsid w:val="00F40C82"/>
    <w:rsid w:val="00F4545B"/>
    <w:rsid w:val="00F47E6A"/>
    <w:rsid w:val="00F5056A"/>
    <w:rsid w:val="00F517FE"/>
    <w:rsid w:val="00F5297A"/>
    <w:rsid w:val="00F631D9"/>
    <w:rsid w:val="00F85378"/>
    <w:rsid w:val="00F917A8"/>
    <w:rsid w:val="00F959FC"/>
    <w:rsid w:val="00FA189E"/>
    <w:rsid w:val="00FA2187"/>
    <w:rsid w:val="00FB50D8"/>
    <w:rsid w:val="00FC5835"/>
    <w:rsid w:val="00FC64EE"/>
    <w:rsid w:val="00FD474A"/>
    <w:rsid w:val="00FE1086"/>
    <w:rsid w:val="00FE1588"/>
    <w:rsid w:val="00FE3569"/>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21"/>
    <o:shapelayout v:ext="edit">
      <o:idmap v:ext="edit" data="1"/>
    </o:shapelayout>
  </w:shapeDefaults>
  <w:decimalSymbol w:val=","/>
  <w:listSeparator w:val=";"/>
  <w14:docId w14:val="124F5EAC"/>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semiHidden/>
    <w:unhideWhenUsed/>
    <w:qFormat/>
    <w:rsid w:val="00D66BD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character" w:customStyle="1" w:styleId="berschrift2Zchn">
    <w:name w:val="Überschrift 2 Zchn"/>
    <w:basedOn w:val="Absatz-Standardschriftart"/>
    <w:link w:val="berschrift2"/>
    <w:uiPriority w:val="9"/>
    <w:semiHidden/>
    <w:rsid w:val="00D66BD8"/>
    <w:rPr>
      <w:rFonts w:asciiTheme="majorHAnsi" w:eastAsiaTheme="majorEastAsia" w:hAnsiTheme="majorHAnsi" w:cstheme="majorBidi"/>
      <w:color w:val="365F91" w:themeColor="accent1" w:themeShade="BF"/>
      <w:sz w:val="26"/>
      <w:szCs w:val="26"/>
    </w:rPr>
  </w:style>
  <w:style w:type="paragraph" w:customStyle="1" w:styleId="Default">
    <w:name w:val="Default"/>
    <w:rsid w:val="009F0858"/>
    <w:pPr>
      <w:autoSpaceDE w:val="0"/>
      <w:autoSpaceDN w:val="0"/>
      <w:adjustRightInd w:val="0"/>
    </w:pPr>
    <w:rPr>
      <w:rFonts w:ascii="Calibri" w:hAnsi="Calibri" w:cs="Calibri"/>
      <w:color w:val="000000"/>
      <w:sz w:val="24"/>
      <w:szCs w:val="24"/>
      <w:lang w:val="da-DK"/>
    </w:rPr>
  </w:style>
  <w:style w:type="paragraph" w:customStyle="1" w:styleId="c-leadtext">
    <w:name w:val="c-leadtext"/>
    <w:basedOn w:val="Standard"/>
    <w:rsid w:val="009F0858"/>
    <w:pPr>
      <w:spacing w:before="100" w:beforeAutospacing="1" w:after="100" w:afterAutospacing="1" w:line="240" w:lineRule="auto"/>
    </w:pPr>
    <w:rPr>
      <w:rFonts w:ascii="Times New Roman" w:hAnsi="Times New Roman"/>
      <w:sz w:val="24"/>
      <w:szCs w:val="24"/>
      <w:lang w:val="da-DK"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156605727">
      <w:bodyDiv w:val="1"/>
      <w:marLeft w:val="0"/>
      <w:marRight w:val="0"/>
      <w:marTop w:val="0"/>
      <w:marBottom w:val="0"/>
      <w:divBdr>
        <w:top w:val="none" w:sz="0" w:space="0" w:color="auto"/>
        <w:left w:val="none" w:sz="0" w:space="0" w:color="auto"/>
        <w:bottom w:val="none" w:sz="0" w:space="0" w:color="auto"/>
        <w:right w:val="none" w:sz="0" w:space="0" w:color="auto"/>
      </w:divBdr>
    </w:div>
    <w:div w:id="1489900395">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04927432">
      <w:bodyDiv w:val="1"/>
      <w:marLeft w:val="0"/>
      <w:marRight w:val="0"/>
      <w:marTop w:val="0"/>
      <w:marBottom w:val="0"/>
      <w:divBdr>
        <w:top w:val="none" w:sz="0" w:space="0" w:color="auto"/>
        <w:left w:val="none" w:sz="0" w:space="0" w:color="auto"/>
        <w:bottom w:val="none" w:sz="0" w:space="0" w:color="auto"/>
        <w:right w:val="none" w:sz="0" w:space="0" w:color="auto"/>
      </w:divBdr>
      <w:divsChild>
        <w:div w:id="1060399462">
          <w:marLeft w:val="0"/>
          <w:marRight w:val="0"/>
          <w:marTop w:val="100"/>
          <w:marBottom w:val="0"/>
          <w:divBdr>
            <w:top w:val="none" w:sz="0" w:space="0" w:color="auto"/>
            <w:left w:val="none" w:sz="0" w:space="0" w:color="auto"/>
            <w:bottom w:val="none" w:sz="0" w:space="0" w:color="auto"/>
            <w:right w:val="none" w:sz="0" w:space="0" w:color="auto"/>
          </w:divBdr>
        </w:div>
        <w:div w:id="289673300">
          <w:marLeft w:val="0"/>
          <w:marRight w:val="0"/>
          <w:marTop w:val="0"/>
          <w:marBottom w:val="0"/>
          <w:divBdr>
            <w:top w:val="none" w:sz="0" w:space="0" w:color="auto"/>
            <w:left w:val="none" w:sz="0" w:space="0" w:color="auto"/>
            <w:bottom w:val="none" w:sz="0" w:space="0" w:color="auto"/>
            <w:right w:val="none" w:sz="0" w:space="0" w:color="auto"/>
          </w:divBdr>
          <w:divsChild>
            <w:div w:id="1009599186">
              <w:marLeft w:val="0"/>
              <w:marRight w:val="0"/>
              <w:marTop w:val="0"/>
              <w:marBottom w:val="0"/>
              <w:divBdr>
                <w:top w:val="none" w:sz="0" w:space="0" w:color="auto"/>
                <w:left w:val="none" w:sz="0" w:space="0" w:color="auto"/>
                <w:bottom w:val="none" w:sz="0" w:space="0" w:color="auto"/>
                <w:right w:val="none" w:sz="0" w:space="0" w:color="auto"/>
              </w:divBdr>
              <w:divsChild>
                <w:div w:id="2189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3.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7529E96A-1D51-48C6-8A7B-793F01EA1CD4}">
  <ds:schemaRefs>
    <ds:schemaRef ds:uri="http://schemas.openxmlformats.org/officeDocument/2006/bibliography"/>
  </ds:schemaRefs>
</ds:datastoreItem>
</file>

<file path=customXml/itemProps6.xml><?xml version="1.0" encoding="utf-8"?>
<ds:datastoreItem xmlns:ds="http://schemas.openxmlformats.org/officeDocument/2006/customXml" ds:itemID="{F42713FA-5D36-4139-BE4C-467001401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4657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48</cp:revision>
  <cp:lastPrinted>2017-08-14T14:05:00Z</cp:lastPrinted>
  <dcterms:created xsi:type="dcterms:W3CDTF">2020-07-20T09:17:00Z</dcterms:created>
  <dcterms:modified xsi:type="dcterms:W3CDTF">2025-10-27T14:03:00Z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