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9E0C" w14:textId="77777777" w:rsidR="00A84F3C" w:rsidRPr="00DE11BC" w:rsidRDefault="00A84F3C" w:rsidP="00F3788D">
      <w:pPr>
        <w:pStyle w:val="Untertitel"/>
        <w:spacing w:line="360" w:lineRule="auto"/>
        <w:rPr>
          <w:rFonts w:cs="Arial"/>
          <w:b w:val="0"/>
          <w:sz w:val="22"/>
        </w:rPr>
      </w:pPr>
    </w:p>
    <w:p w14:paraId="60713DA2" w14:textId="77777777" w:rsidR="00EB3429" w:rsidRPr="000B7CB3" w:rsidRDefault="00EB3429" w:rsidP="000B7CB3">
      <w:pPr>
        <w:tabs>
          <w:tab w:val="left" w:pos="7088"/>
        </w:tabs>
        <w:spacing w:line="360" w:lineRule="auto"/>
        <w:rPr>
          <w:rFonts w:cs="Arial"/>
          <w:sz w:val="22"/>
          <w:szCs w:val="22"/>
          <w:lang w:val="en-US"/>
        </w:rPr>
      </w:pPr>
    </w:p>
    <w:p w14:paraId="190ECB5C" w14:textId="77777777" w:rsidR="00EB3429" w:rsidRPr="00EB3429" w:rsidRDefault="00EB3429" w:rsidP="00EB3429">
      <w:pPr>
        <w:spacing w:line="360" w:lineRule="auto"/>
        <w:rPr>
          <w:rFonts w:eastAsiaTheme="minorEastAsia" w:cstheme="minorBidi"/>
          <w:b/>
          <w:sz w:val="24"/>
          <w:szCs w:val="21"/>
          <w:lang w:val="fi-FI"/>
        </w:rPr>
      </w:pPr>
      <w:r w:rsidRPr="00EB3429">
        <w:rPr>
          <w:rFonts w:eastAsiaTheme="minorEastAsia" w:cstheme="minorBidi"/>
          <w:b/>
          <w:sz w:val="24"/>
          <w:szCs w:val="21"/>
          <w:lang w:val="fi-FI"/>
        </w:rPr>
        <w:t>GEMÜ esittelee CONEXO 2025:n – digitaalisen laitteistohallinnan uuden aikakauden</w:t>
      </w:r>
    </w:p>
    <w:p w14:paraId="53A5D6D2" w14:textId="77777777" w:rsidR="00EB3429" w:rsidRPr="00EB3429" w:rsidRDefault="00EB3429" w:rsidP="00EB3429">
      <w:pPr>
        <w:spacing w:line="360" w:lineRule="auto"/>
        <w:rPr>
          <w:b/>
          <w:bCs/>
          <w:sz w:val="22"/>
          <w:szCs w:val="28"/>
          <w:lang w:val="en-US"/>
        </w:rPr>
      </w:pPr>
    </w:p>
    <w:p w14:paraId="679C49C2" w14:textId="77777777" w:rsidR="00EB3429" w:rsidRDefault="00EB3429" w:rsidP="00EB3429">
      <w:pPr>
        <w:spacing w:line="360" w:lineRule="auto"/>
        <w:rPr>
          <w:rFonts w:eastAsiaTheme="minorEastAsia" w:cstheme="minorBidi"/>
          <w:b/>
          <w:lang w:val="fi-FI"/>
        </w:rPr>
      </w:pPr>
      <w:r>
        <w:rPr>
          <w:rFonts w:eastAsiaTheme="minorEastAsia" w:cstheme="minorBidi"/>
          <w:b/>
          <w:lang w:val="fi-FI"/>
        </w:rPr>
        <w:t>Venttiili-, mittaus- ja säätötekniikan asiantuntija GEMÜ Group esittelee CONEXO 2025:n myötä eri valmistajien laitteistojen elinkaaren hallintaan tarkoitetun digitaalisen ratkaisunsa uuden sukupolven. Uusi versio on esimerkillinen komponenttien digitaalisessa tunnistuksessa ja hallinnassa ja tuo jatkuvaa läpinäkyvyyttä koko elinkaareen – käyttöönotosta aina hävittämiseen saakka.</w:t>
      </w:r>
    </w:p>
    <w:p w14:paraId="15B57163" w14:textId="77777777" w:rsidR="00EB3429" w:rsidRPr="00EB3429" w:rsidRDefault="00EB3429" w:rsidP="00EB3429">
      <w:pPr>
        <w:spacing w:line="360" w:lineRule="auto"/>
        <w:rPr>
          <w:b/>
          <w:bCs/>
          <w:lang w:val="fi-FI"/>
        </w:rPr>
      </w:pPr>
    </w:p>
    <w:p w14:paraId="71C6804C" w14:textId="77777777" w:rsidR="00EB3429" w:rsidRPr="00EB3429" w:rsidRDefault="00EB3429" w:rsidP="00EB3429">
      <w:pPr>
        <w:spacing w:line="360" w:lineRule="auto"/>
        <w:rPr>
          <w:lang w:val="fi-FI"/>
        </w:rPr>
      </w:pPr>
      <w:r>
        <w:rPr>
          <w:rFonts w:eastAsiaTheme="minorEastAsia" w:cstheme="minorBidi"/>
          <w:lang w:val="fi-FI"/>
        </w:rPr>
        <w:t xml:space="preserve">CONEXO 2025 mahdollistaa modernien teknologioiden kuten </w:t>
      </w:r>
      <w:proofErr w:type="spellStart"/>
      <w:r>
        <w:rPr>
          <w:rFonts w:eastAsiaTheme="minorEastAsia" w:cstheme="minorBidi"/>
          <w:lang w:val="fi-FI"/>
        </w:rPr>
        <w:t>RFID:n</w:t>
      </w:r>
      <w:proofErr w:type="spellEnd"/>
      <w:r>
        <w:rPr>
          <w:rFonts w:eastAsiaTheme="minorEastAsia" w:cstheme="minorBidi"/>
          <w:lang w:val="fi-FI"/>
        </w:rPr>
        <w:t>, QR-koodin ja tietomatriisikoodin avulla komponenttien yksilöllisen tunnistuksen suoraan laitteistossa ja yhdistää ne digitaalisiin tuotetietoihin, huoltotietoihin ja vanhentumistilaan.</w:t>
      </w:r>
    </w:p>
    <w:p w14:paraId="508A2C1E" w14:textId="77777777" w:rsidR="00EB3429" w:rsidRDefault="00EB3429" w:rsidP="00EB3429">
      <w:pPr>
        <w:spacing w:line="360" w:lineRule="auto"/>
        <w:rPr>
          <w:rFonts w:eastAsiaTheme="minorEastAsia" w:cstheme="minorBidi"/>
          <w:lang w:val="fi-FI"/>
        </w:rPr>
      </w:pPr>
      <w:r>
        <w:rPr>
          <w:rFonts w:eastAsiaTheme="minorEastAsia" w:cstheme="minorBidi"/>
          <w:lang w:val="fi-FI"/>
        </w:rPr>
        <w:t>Yksinkertainen skannaus tarjoaa huoltomekaanikoille välittömän pääsyn oleellisiin dokumentteihin, sertifikaatteihin, huoltohistoriatietoihin ja tulossa oleviin tehtäviin.</w:t>
      </w:r>
    </w:p>
    <w:p w14:paraId="6734E83B" w14:textId="11C1BD5C" w:rsidR="00EB3429" w:rsidRPr="00EB3429" w:rsidRDefault="00EB3429" w:rsidP="00EB3429">
      <w:pPr>
        <w:spacing w:line="360" w:lineRule="auto"/>
        <w:rPr>
          <w:lang w:val="fi-FI"/>
        </w:rPr>
      </w:pPr>
      <w:r>
        <w:rPr>
          <w:rFonts w:eastAsiaTheme="minorEastAsia" w:cstheme="minorBidi"/>
          <w:lang w:val="fi-FI"/>
        </w:rPr>
        <w:t xml:space="preserve"> </w:t>
      </w:r>
    </w:p>
    <w:p w14:paraId="73BE0CC0" w14:textId="77777777" w:rsidR="00EB3429" w:rsidRPr="00EB3429" w:rsidRDefault="00EB3429" w:rsidP="00EB3429">
      <w:pPr>
        <w:spacing w:line="360" w:lineRule="auto"/>
        <w:rPr>
          <w:b/>
          <w:bCs/>
          <w:lang w:val="fi-FI"/>
        </w:rPr>
      </w:pPr>
      <w:r>
        <w:rPr>
          <w:rFonts w:eastAsiaTheme="minorEastAsia" w:cstheme="minorBidi"/>
          <w:b/>
          <w:lang w:val="fi-FI"/>
        </w:rPr>
        <w:t>Avoin. Standardeihin perustuva. Tulevaisuuden vaatimukset huomioon ottava.</w:t>
      </w:r>
    </w:p>
    <w:p w14:paraId="5CFC227A" w14:textId="77777777" w:rsidR="00EB3429" w:rsidRDefault="00EB3429" w:rsidP="00EB3429">
      <w:pPr>
        <w:spacing w:line="360" w:lineRule="auto"/>
        <w:rPr>
          <w:rFonts w:eastAsiaTheme="minorEastAsia" w:cstheme="minorBidi"/>
          <w:lang w:val="fi-FI"/>
        </w:rPr>
      </w:pPr>
      <w:r>
        <w:rPr>
          <w:rFonts w:eastAsiaTheme="minorEastAsia" w:cstheme="minorBidi"/>
          <w:lang w:val="fi-FI"/>
        </w:rPr>
        <w:t xml:space="preserve">CONEXO 2025 perustuu kansainvälisiin standardeihin ja täyttää jo nyt tulevien säännösten vaatimukset, esimerkkinä digitaalinen tuotepassi (DPP). Yksilöllinen tunnistus on mahdollista QR-koodin, tietomatriisikoodin ja </w:t>
      </w:r>
      <w:proofErr w:type="spellStart"/>
      <w:r>
        <w:rPr>
          <w:rFonts w:eastAsiaTheme="minorEastAsia" w:cstheme="minorBidi"/>
          <w:lang w:val="fi-FI"/>
        </w:rPr>
        <w:t>UHF-RFID:n</w:t>
      </w:r>
      <w:proofErr w:type="spellEnd"/>
      <w:r>
        <w:rPr>
          <w:rFonts w:eastAsiaTheme="minorEastAsia" w:cstheme="minorBidi"/>
          <w:lang w:val="fi-FI"/>
        </w:rPr>
        <w:t xml:space="preserve"> (860–960 MHz) avulla, mikä varmistaa </w:t>
      </w:r>
      <w:proofErr w:type="spellStart"/>
      <w:r>
        <w:rPr>
          <w:rFonts w:eastAsiaTheme="minorEastAsia" w:cstheme="minorBidi"/>
          <w:lang w:val="fi-FI"/>
        </w:rPr>
        <w:t>yhteentoimivuuden</w:t>
      </w:r>
      <w:proofErr w:type="spellEnd"/>
      <w:r>
        <w:rPr>
          <w:rFonts w:eastAsiaTheme="minorEastAsia" w:cstheme="minorBidi"/>
          <w:lang w:val="fi-FI"/>
        </w:rPr>
        <w:t xml:space="preserve"> eri valmistajien tuotteiden kanssa ISO/IEC-standardien mukaan. EU:n kestävien tuotteiden ekologista suunnittelua koskevan uuden asetuksen (ESPR) mukaan digitaalisesta tuotepassista tulee pakollinen ensimmäisille tuoteryhmille vuodesta 2027 alkaen. CONEXO 2025 on valmis vastaavien tietojen käsittelyyn ja yhdistämiseen </w:t>
      </w:r>
      <w:proofErr w:type="spellStart"/>
      <w:r>
        <w:rPr>
          <w:rFonts w:eastAsiaTheme="minorEastAsia" w:cstheme="minorBidi"/>
          <w:lang w:val="fi-FI"/>
        </w:rPr>
        <w:t>Asset</w:t>
      </w:r>
      <w:proofErr w:type="spellEnd"/>
      <w:r>
        <w:rPr>
          <w:rFonts w:eastAsiaTheme="minorEastAsia" w:cstheme="minorBidi"/>
          <w:lang w:val="fi-FI"/>
        </w:rPr>
        <w:t xml:space="preserve"> </w:t>
      </w:r>
      <w:proofErr w:type="spellStart"/>
      <w:r>
        <w:rPr>
          <w:rFonts w:eastAsiaTheme="minorEastAsia" w:cstheme="minorBidi"/>
          <w:lang w:val="fi-FI"/>
        </w:rPr>
        <w:t>Administration</w:t>
      </w:r>
      <w:proofErr w:type="spellEnd"/>
      <w:r>
        <w:rPr>
          <w:rFonts w:eastAsiaTheme="minorEastAsia" w:cstheme="minorBidi"/>
          <w:lang w:val="fi-FI"/>
        </w:rPr>
        <w:t xml:space="preserve"> Shellin (AAS) kanssa. Koneellisesti luettavat standardin IEC 61406 mukaiset tunnisteet toimivat URL-perusteisena viitteenä suoraan fyysisessä objektissa ja mahdollistavat pääsyn digitaalisiin tietoihin esimerkiksi 2D-koodien tai NFC-tunnisteiden avulla. Lisäksi CONEXO käyttää </w:t>
      </w:r>
      <w:proofErr w:type="spellStart"/>
      <w:r>
        <w:rPr>
          <w:rFonts w:eastAsiaTheme="minorEastAsia" w:cstheme="minorBidi"/>
          <w:lang w:val="fi-FI"/>
        </w:rPr>
        <w:t>AAS:ää</w:t>
      </w:r>
      <w:proofErr w:type="spellEnd"/>
      <w:r>
        <w:rPr>
          <w:rFonts w:eastAsiaTheme="minorEastAsia" w:cstheme="minorBidi"/>
          <w:lang w:val="fi-FI"/>
        </w:rPr>
        <w:t xml:space="preserve"> valmistajasta riippumattomana standardina digitaalisille kaksosille teollisuus 4.0:ssa ja luottaa avoimeen AASX-tiedostomuotoon laitteistojen omistajien, valmistajien ja huoltokumppaneiden välisen tietojen vaihdon helpottamiseksi.</w:t>
      </w:r>
    </w:p>
    <w:p w14:paraId="65FF648F" w14:textId="77777777" w:rsidR="00EB3429" w:rsidRPr="00EB3429" w:rsidRDefault="00EB3429" w:rsidP="00EB3429">
      <w:pPr>
        <w:spacing w:line="360" w:lineRule="auto"/>
        <w:rPr>
          <w:lang w:val="fi-FI"/>
        </w:rPr>
      </w:pPr>
    </w:p>
    <w:p w14:paraId="4FC37E8E" w14:textId="77777777" w:rsidR="00EB3429" w:rsidRPr="00EB3429" w:rsidRDefault="00EB3429" w:rsidP="00EB3429">
      <w:pPr>
        <w:spacing w:line="360" w:lineRule="auto"/>
        <w:rPr>
          <w:b/>
          <w:bCs/>
          <w:lang w:val="fi-FI"/>
        </w:rPr>
      </w:pPr>
      <w:r>
        <w:rPr>
          <w:rFonts w:eastAsiaTheme="minorEastAsia" w:cstheme="minorBidi"/>
          <w:b/>
          <w:lang w:val="fi-FI"/>
        </w:rPr>
        <w:t>CONEXO 2025:n uudet toiminnot</w:t>
      </w:r>
    </w:p>
    <w:p w14:paraId="19DAFE6E" w14:textId="77777777" w:rsidR="00EB3429" w:rsidRPr="00EB3429" w:rsidRDefault="00EB3429" w:rsidP="00EB3429">
      <w:pPr>
        <w:spacing w:line="360" w:lineRule="auto"/>
        <w:rPr>
          <w:lang w:val="fi-FI"/>
        </w:rPr>
      </w:pPr>
      <w:r>
        <w:rPr>
          <w:rFonts w:eastAsiaTheme="minorEastAsia" w:cstheme="minorBidi"/>
          <w:lang w:val="fi-FI"/>
        </w:rPr>
        <w:t xml:space="preserve">CONEXO 2025 tarjoaa käyttöön lukuisia uusia toimintoja, jotka tekevät digitaalisesta laitteistohallinnasta entistä tehokkaampaa ja tulevaisuuden vaatimukset paremmin huomioon ottavaa. Mitä tulee laitteistojen vanhentumisen hallintaan, ratkaisu mahdollistaa kriittisten tilanteiden, kuten takaisinvetokampanjat tai tuotteiden lakkautukset, havaitsemisen ajoissa ja sopivien korvaustehtävien automaattisen luonnin. </w:t>
      </w:r>
      <w:r>
        <w:rPr>
          <w:rFonts w:eastAsiaTheme="minorEastAsia" w:cstheme="minorBidi"/>
          <w:lang w:val="fi-FI"/>
        </w:rPr>
        <w:lastRenderedPageBreak/>
        <w:t xml:space="preserve">Komponenttien hallintaa on laajennettu huomattavasti: </w:t>
      </w:r>
      <w:proofErr w:type="spellStart"/>
      <w:r>
        <w:rPr>
          <w:rFonts w:eastAsiaTheme="minorEastAsia" w:cstheme="minorBidi"/>
          <w:lang w:val="fi-FI"/>
        </w:rPr>
        <w:t>aliakset</w:t>
      </w:r>
      <w:proofErr w:type="spellEnd"/>
      <w:r>
        <w:rPr>
          <w:rFonts w:eastAsiaTheme="minorEastAsia" w:cstheme="minorBidi"/>
          <w:lang w:val="fi-FI"/>
        </w:rPr>
        <w:t xml:space="preserve"> eli peitenimet mahdollistavat yksilölliset tunnisteet, sijaintipolut osoittavat tarkan asennuspaikan, kokonaisia rakenneryhmiä voidaan nyt irrottaa joukoittain, kaikki asiaankuuluvat dokumentit voidaan ladata ZIP-tiedostona, ja tunnistus pakkausmerkintöjen yhteydessä on parantunut.</w:t>
      </w:r>
    </w:p>
    <w:p w14:paraId="015F8A92" w14:textId="77777777" w:rsidR="00EB3429" w:rsidRDefault="00EB3429" w:rsidP="00EB3429">
      <w:pPr>
        <w:spacing w:line="360" w:lineRule="auto"/>
        <w:rPr>
          <w:rFonts w:eastAsiaTheme="minorEastAsia" w:cstheme="minorBidi"/>
          <w:lang w:val="fi-FI"/>
        </w:rPr>
      </w:pPr>
      <w:r>
        <w:rPr>
          <w:rFonts w:eastAsiaTheme="minorEastAsia" w:cstheme="minorBidi"/>
          <w:lang w:val="fi-FI"/>
        </w:rPr>
        <w:t>Myös toimintopaikkojen hallintaa on optimoitu. Jokaiselle paikalle voidaan luoda QR-koodi, ja luotettava tuonti/vienti "</w:t>
      </w:r>
      <w:proofErr w:type="spellStart"/>
      <w:r>
        <w:rPr>
          <w:rFonts w:eastAsiaTheme="minorEastAsia" w:cstheme="minorBidi"/>
          <w:lang w:val="fi-FI"/>
        </w:rPr>
        <w:t>Identification</w:t>
      </w:r>
      <w:proofErr w:type="spellEnd"/>
      <w:r>
        <w:rPr>
          <w:rFonts w:eastAsiaTheme="minorEastAsia" w:cstheme="minorBidi"/>
          <w:lang w:val="fi-FI"/>
        </w:rPr>
        <w:t xml:space="preserve"> Alias" -ominaisuuden avulla takaa sujuvan tiedonsiirron. Huoltotehtäviin voidaan nyt lisätä osatehtäviä, kalenterinäkymä helpottaa suunnittelua, ja sisäiset ja ulkoiset merkinnät tarjoavat lisätilaa tiedoille. Tuotehallinnassa CONEXO 2025 tukee Excel-tuontia ja mahdollistaa mukautettujen valmistajaominaisuuksien lisäämisen. Uudessa Mobiililaitteet-yhteenvedossa näytetään kaikki liitetyt laitteet mukaan lukien niiden tiedot ja synkronointitila – maksimaalisen läpinäkyvyyden ja hallinnan mahdollistamiseksi.</w:t>
      </w:r>
    </w:p>
    <w:p w14:paraId="68D68549" w14:textId="77777777" w:rsidR="00EB3429" w:rsidRPr="00EB3429" w:rsidRDefault="00EB3429" w:rsidP="00EB3429">
      <w:pPr>
        <w:spacing w:line="360" w:lineRule="auto"/>
        <w:rPr>
          <w:lang w:val="fi-FI"/>
        </w:rPr>
      </w:pPr>
    </w:p>
    <w:p w14:paraId="4953B6E4" w14:textId="77777777" w:rsidR="00EB3429" w:rsidRPr="00EB3429" w:rsidRDefault="00EB3429" w:rsidP="00EB3429">
      <w:pPr>
        <w:spacing w:line="360" w:lineRule="auto"/>
        <w:rPr>
          <w:b/>
          <w:bCs/>
          <w:lang w:val="fi-FI"/>
        </w:rPr>
      </w:pPr>
      <w:r>
        <w:rPr>
          <w:rFonts w:eastAsiaTheme="minorEastAsia" w:cstheme="minorBidi"/>
          <w:b/>
          <w:lang w:val="fi-FI"/>
        </w:rPr>
        <w:t>Lisäarvo</w:t>
      </w:r>
    </w:p>
    <w:p w14:paraId="2B9C16FB" w14:textId="77777777" w:rsidR="00EB3429" w:rsidRPr="00EB3429" w:rsidRDefault="00EB3429" w:rsidP="00EB3429">
      <w:pPr>
        <w:spacing w:line="360" w:lineRule="auto"/>
        <w:rPr>
          <w:lang w:val="fi-FI"/>
        </w:rPr>
      </w:pPr>
      <w:r>
        <w:rPr>
          <w:rFonts w:eastAsiaTheme="minorEastAsia" w:cstheme="minorBidi"/>
          <w:lang w:val="fi-FI"/>
        </w:rPr>
        <w:t xml:space="preserve">CONEXO 2025 tuo käyttäjille etua merkittävästi paremman turvallisuuden ja </w:t>
      </w:r>
      <w:proofErr w:type="spellStart"/>
      <w:r>
        <w:rPr>
          <w:rFonts w:eastAsiaTheme="minorEastAsia" w:cstheme="minorBidi"/>
          <w:lang w:val="fi-FI"/>
        </w:rPr>
        <w:t>Compliance</w:t>
      </w:r>
      <w:proofErr w:type="spellEnd"/>
      <w:r>
        <w:rPr>
          <w:rFonts w:eastAsiaTheme="minorEastAsia" w:cstheme="minorBidi"/>
          <w:lang w:val="fi-FI"/>
        </w:rPr>
        <w:t>-asioiden muodossa: komponenttien yksilöllinen tunnistus ja kaikkien toimenpiteiden aukoton dokumentointi vähentävät riskejä ja helpottavat auditointeja – kattaen niin takaisinvedot kuin sertifiointivelvoitteet. Samalla ratkaisu parantaa huollon ja kunnossapidon tuottavuutta minimoimalla vikojen hakuajat, estämällä väliainekatkokset ja mahdollistamalla suuremman määrän tilanteita, joissa asian hoitaminen kuntoon onnistuu ensimmäisellä kerralla ("</w:t>
      </w:r>
      <w:proofErr w:type="spellStart"/>
      <w:r>
        <w:rPr>
          <w:rFonts w:eastAsiaTheme="minorEastAsia" w:cstheme="minorBidi"/>
          <w:lang w:val="fi-FI"/>
        </w:rPr>
        <w:t>Right</w:t>
      </w:r>
      <w:proofErr w:type="spellEnd"/>
      <w:r>
        <w:rPr>
          <w:rFonts w:eastAsiaTheme="minorEastAsia" w:cstheme="minorBidi"/>
          <w:lang w:val="fi-FI"/>
        </w:rPr>
        <w:t xml:space="preserve"> </w:t>
      </w:r>
      <w:proofErr w:type="spellStart"/>
      <w:r>
        <w:rPr>
          <w:rFonts w:eastAsiaTheme="minorEastAsia" w:cstheme="minorBidi"/>
          <w:lang w:val="fi-FI"/>
        </w:rPr>
        <w:t>First</w:t>
      </w:r>
      <w:proofErr w:type="spellEnd"/>
      <w:r>
        <w:rPr>
          <w:rFonts w:eastAsiaTheme="minorEastAsia" w:cstheme="minorBidi"/>
          <w:lang w:val="fi-FI"/>
        </w:rPr>
        <w:t xml:space="preserve"> Time"). Fyysisten merkintämenetelmien, kuten QR-koodi, RFID ja IEC 61406, skaalautuva yhteys digitaalisten kaksosten (AAS/AASX) ja digitaalisen tuotepassin (DPP) kanssa takaa CONEXO 2025:n valmiuden vastata tuleviin vaatimuksiin – eri valmistajien tuotteista riippumatta ja avoimen järjestelmän myötä.</w:t>
      </w:r>
    </w:p>
    <w:p w14:paraId="1E2A6B6F" w14:textId="77777777" w:rsidR="00EB3429" w:rsidRPr="00EB3429" w:rsidRDefault="00EB3429" w:rsidP="00EB3429">
      <w:pPr>
        <w:spacing w:line="360" w:lineRule="auto"/>
        <w:rPr>
          <w:lang w:val="fi-FI"/>
        </w:rPr>
      </w:pPr>
      <w:r>
        <w:rPr>
          <w:rFonts w:eastAsiaTheme="minorEastAsia" w:cstheme="minorBidi"/>
          <w:lang w:val="fi-FI"/>
        </w:rPr>
        <w:t>CONEXO 2025:n myötä GEMÜ tarjoaa digitaaliseen laitteistohallintaan tehokkaan ja tulevaisuudenkestävän ratkaisun, joka täyttää läpinäkyvyyttä, tehokkuutta ja standardien mukaisuutta koskevat lisääntyvät vaatimukset ja avaa siten tietä kohti teollisen digitalisaation uutta aikakautta.</w:t>
      </w:r>
    </w:p>
    <w:p w14:paraId="60B1D8F5" w14:textId="77777777" w:rsidR="000B7CB3" w:rsidRDefault="000B7CB3" w:rsidP="00F3788D">
      <w:pPr>
        <w:autoSpaceDE w:val="0"/>
        <w:autoSpaceDN w:val="0"/>
        <w:adjustRightInd w:val="0"/>
        <w:spacing w:line="360" w:lineRule="auto"/>
        <w:rPr>
          <w:rFonts w:cs="Arial"/>
          <w:b/>
          <w:lang w:val="fi-FI"/>
        </w:rPr>
      </w:pPr>
    </w:p>
    <w:p w14:paraId="14B32271" w14:textId="77777777" w:rsidR="00EB3429" w:rsidRDefault="00EB3429" w:rsidP="00F3788D">
      <w:pPr>
        <w:autoSpaceDE w:val="0"/>
        <w:autoSpaceDN w:val="0"/>
        <w:adjustRightInd w:val="0"/>
        <w:spacing w:line="360" w:lineRule="auto"/>
        <w:rPr>
          <w:rFonts w:cs="Arial"/>
          <w:b/>
          <w:lang w:val="fi-FI"/>
        </w:rPr>
      </w:pPr>
    </w:p>
    <w:p w14:paraId="3D738D64" w14:textId="77777777" w:rsidR="00EB3429" w:rsidRDefault="00EB3429" w:rsidP="00F3788D">
      <w:pPr>
        <w:autoSpaceDE w:val="0"/>
        <w:autoSpaceDN w:val="0"/>
        <w:adjustRightInd w:val="0"/>
        <w:spacing w:line="360" w:lineRule="auto"/>
        <w:rPr>
          <w:rFonts w:cs="Arial"/>
          <w:b/>
          <w:lang w:val="fi-FI"/>
        </w:rPr>
      </w:pPr>
    </w:p>
    <w:p w14:paraId="57C9962A" w14:textId="77777777" w:rsidR="00EB3429" w:rsidRDefault="00EB3429" w:rsidP="00F3788D">
      <w:pPr>
        <w:autoSpaceDE w:val="0"/>
        <w:autoSpaceDN w:val="0"/>
        <w:adjustRightInd w:val="0"/>
        <w:spacing w:line="360" w:lineRule="auto"/>
        <w:rPr>
          <w:rFonts w:cs="Arial"/>
          <w:b/>
          <w:lang w:val="fi-FI"/>
        </w:rPr>
      </w:pPr>
    </w:p>
    <w:p w14:paraId="72D86FA4" w14:textId="77777777" w:rsidR="00EB3429" w:rsidRDefault="00EB3429" w:rsidP="00F3788D">
      <w:pPr>
        <w:autoSpaceDE w:val="0"/>
        <w:autoSpaceDN w:val="0"/>
        <w:adjustRightInd w:val="0"/>
        <w:spacing w:line="360" w:lineRule="auto"/>
        <w:rPr>
          <w:rFonts w:cs="Arial"/>
          <w:b/>
          <w:lang w:val="fi-FI"/>
        </w:rPr>
      </w:pPr>
    </w:p>
    <w:p w14:paraId="4FE4B6AA" w14:textId="77777777" w:rsidR="00EB3429" w:rsidRDefault="00EB3429" w:rsidP="00F3788D">
      <w:pPr>
        <w:autoSpaceDE w:val="0"/>
        <w:autoSpaceDN w:val="0"/>
        <w:adjustRightInd w:val="0"/>
        <w:spacing w:line="360" w:lineRule="auto"/>
        <w:rPr>
          <w:rFonts w:cs="Arial"/>
          <w:b/>
          <w:lang w:val="fi-FI"/>
        </w:rPr>
      </w:pPr>
    </w:p>
    <w:p w14:paraId="0918F7D3" w14:textId="77777777" w:rsidR="00EB3429" w:rsidRDefault="00EB3429" w:rsidP="00F3788D">
      <w:pPr>
        <w:autoSpaceDE w:val="0"/>
        <w:autoSpaceDN w:val="0"/>
        <w:adjustRightInd w:val="0"/>
        <w:spacing w:line="360" w:lineRule="auto"/>
        <w:rPr>
          <w:rFonts w:cs="Arial"/>
          <w:b/>
          <w:lang w:val="fi-FI"/>
        </w:rPr>
      </w:pPr>
    </w:p>
    <w:p w14:paraId="6A637BA0" w14:textId="77777777" w:rsidR="00EB3429" w:rsidRDefault="00EB3429" w:rsidP="00F3788D">
      <w:pPr>
        <w:autoSpaceDE w:val="0"/>
        <w:autoSpaceDN w:val="0"/>
        <w:adjustRightInd w:val="0"/>
        <w:spacing w:line="360" w:lineRule="auto"/>
        <w:rPr>
          <w:rFonts w:cs="Arial"/>
          <w:b/>
          <w:lang w:val="fi-FI"/>
        </w:rPr>
      </w:pPr>
    </w:p>
    <w:p w14:paraId="2E8CC6DE" w14:textId="77777777" w:rsidR="00EB3429" w:rsidRPr="00AD7428" w:rsidRDefault="00EB3429" w:rsidP="00F3788D">
      <w:pPr>
        <w:autoSpaceDE w:val="0"/>
        <w:autoSpaceDN w:val="0"/>
        <w:adjustRightInd w:val="0"/>
        <w:spacing w:line="360" w:lineRule="auto"/>
        <w:rPr>
          <w:rFonts w:cs="Arial"/>
          <w:b/>
          <w:lang w:val="fi-FI"/>
        </w:rPr>
      </w:pPr>
    </w:p>
    <w:p w14:paraId="54F67BFE" w14:textId="0AEB6EC8" w:rsidR="0052138C" w:rsidRPr="00DD4AF2" w:rsidRDefault="00D02122" w:rsidP="00DD4AF2">
      <w:pPr>
        <w:autoSpaceDE w:val="0"/>
        <w:autoSpaceDN w:val="0"/>
        <w:spacing w:line="360" w:lineRule="auto"/>
        <w:rPr>
          <w:rFonts w:cs="Arial"/>
          <w:lang w:val="fi-FI"/>
        </w:rPr>
      </w:pPr>
      <w:r w:rsidRPr="00D02122">
        <w:rPr>
          <w:rFonts w:cs="Arial"/>
          <w:b/>
          <w:bCs/>
          <w:lang w:val="fi-FI"/>
        </w:rPr>
        <w:lastRenderedPageBreak/>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w:t>
      </w:r>
      <w:r w:rsidR="00DD4AF2">
        <w:rPr>
          <w:rFonts w:cs="Arial"/>
          <w:lang w:val="fi-FI"/>
        </w:rPr>
        <w:t>Vuonna 202</w:t>
      </w:r>
      <w:r w:rsidR="008173AB">
        <w:rPr>
          <w:rFonts w:cs="Arial"/>
          <w:lang w:val="fi-FI"/>
        </w:rPr>
        <w:t>4</w:t>
      </w:r>
      <w:r w:rsidR="00DD4AF2">
        <w:rPr>
          <w:rFonts w:cs="Arial"/>
          <w:lang w:val="fi-FI"/>
        </w:rPr>
        <w:t xml:space="preserve"> yritysryhmän liikevaihto oli yli 5</w:t>
      </w:r>
      <w:r w:rsidR="008173AB">
        <w:rPr>
          <w:rFonts w:cs="Arial"/>
          <w:lang w:val="fi-FI"/>
        </w:rPr>
        <w:t>25</w:t>
      </w:r>
      <w:r w:rsidR="00DD4AF2">
        <w:rPr>
          <w:rFonts w:cs="Arial"/>
          <w:lang w:val="fi-FI"/>
        </w:rPr>
        <w:t xml:space="preserve"> miljoonaa euroa, ja nykyisellään sillä on koko maailmassa yli 2 500 työntekijää, joista noin 1 400 Saksassa. Tuotantopaikkoja on kahdeksan: Saksassa sijaitsevien kahden tuotantolaitoksen lisäksi GEMÜ valmistaa tuotteitaan Brasiliassa, Kiinassa, Ranskassa, Intiassa, Sveitsissä ja Yhdysvalloissa. Maailmanlaajuista myyntiä koordinoidaan Saksasta käsin yli 25 tytäryhtiön kautta. Tiheän myyntiverkostonsa kautta GEMÜ toimii aktiivisesti yli 50 maassa kaikissa maanosissa.  </w:t>
      </w:r>
      <w:r w:rsidR="004C06A3" w:rsidRPr="00AF788C">
        <w:rPr>
          <w:rFonts w:cs="Arial"/>
          <w:lang w:val="fi-FI"/>
        </w:rPr>
        <w:br/>
      </w:r>
      <w:r w:rsidR="004C06A3" w:rsidRPr="00DD4AF2">
        <w:rPr>
          <w:rFonts w:cs="Arial"/>
          <w:shd w:val="clear" w:color="auto" w:fill="FFFFFF"/>
          <w:lang w:val="fi-FI"/>
        </w:rPr>
        <w:t xml:space="preserve">Lisätietoa osoitteesta </w:t>
      </w:r>
      <w:hyperlink r:id="rId14" w:tgtFrame="_blank" w:tooltip="www.gemu-group.com" w:history="1">
        <w:r w:rsidR="004C06A3" w:rsidRPr="00DD4AF2">
          <w:rPr>
            <w:rStyle w:val="Hyperlink"/>
            <w:rFonts w:cs="Arial"/>
            <w:color w:val="auto"/>
            <w:lang w:val="fi-FI"/>
          </w:rPr>
          <w:t>gemu-group.com</w:t>
        </w:r>
      </w:hyperlink>
      <w:r w:rsidR="004C06A3" w:rsidRPr="00DD4AF2">
        <w:rPr>
          <w:rFonts w:cs="Arial"/>
          <w:shd w:val="clear" w:color="auto" w:fill="FFFFFF"/>
          <w:lang w:val="fi-FI"/>
        </w:rPr>
        <w:t>.</w:t>
      </w:r>
    </w:p>
    <w:p w14:paraId="53287AE7" w14:textId="52FFD55F" w:rsidR="000D3ECB" w:rsidRPr="00DD4AF2" w:rsidRDefault="000D3ECB" w:rsidP="004C06A3">
      <w:pPr>
        <w:autoSpaceDE w:val="0"/>
        <w:autoSpaceDN w:val="0"/>
        <w:adjustRightInd w:val="0"/>
        <w:spacing w:line="360" w:lineRule="auto"/>
        <w:rPr>
          <w:rFonts w:cs="Arial"/>
          <w:shd w:val="clear" w:color="auto" w:fill="FFFFFF"/>
          <w:lang w:val="fi-FI"/>
        </w:rPr>
      </w:pPr>
    </w:p>
    <w:p w14:paraId="3BA9751A" w14:textId="6EFE4D3F" w:rsidR="000D3ECB" w:rsidRPr="00DD4AF2" w:rsidRDefault="000D3ECB" w:rsidP="004C06A3">
      <w:pPr>
        <w:autoSpaceDE w:val="0"/>
        <w:autoSpaceDN w:val="0"/>
        <w:adjustRightInd w:val="0"/>
        <w:spacing w:line="360" w:lineRule="auto"/>
        <w:rPr>
          <w:rFonts w:cs="Arial"/>
          <w:shd w:val="clear" w:color="auto" w:fill="FFFFFF"/>
          <w:lang w:val="fi-FI"/>
        </w:rPr>
      </w:pPr>
    </w:p>
    <w:p w14:paraId="59FB1850" w14:textId="60391401" w:rsidR="00307CB7" w:rsidRPr="00DD4AF2" w:rsidRDefault="00307CB7" w:rsidP="004C06A3">
      <w:pPr>
        <w:autoSpaceDE w:val="0"/>
        <w:autoSpaceDN w:val="0"/>
        <w:adjustRightInd w:val="0"/>
        <w:spacing w:line="360" w:lineRule="auto"/>
        <w:rPr>
          <w:rFonts w:cs="Arial"/>
          <w:lang w:val="fi-FI"/>
        </w:rPr>
      </w:pPr>
    </w:p>
    <w:sectPr w:rsidR="00307CB7" w:rsidRPr="00DD4AF2"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A211" w14:textId="77777777" w:rsidR="00E200F4" w:rsidRPr="004951EC" w:rsidRDefault="00E200F4" w:rsidP="00E200F4">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FAD1322" w14:textId="77777777" w:rsidR="00E200F4" w:rsidRDefault="00E200F4" w:rsidP="00E200F4">
    <w:pPr>
      <w:pStyle w:val="Webseite"/>
      <w:rPr>
        <w:b w:val="0"/>
        <w:bCs/>
        <w:color w:val="auto"/>
        <w:lang w:val="en-US"/>
      </w:rPr>
    </w:pPr>
    <w:r w:rsidRPr="000E2FB8">
      <w:rPr>
        <w:b w:val="0"/>
        <w:bCs/>
        <w:color w:val="auto"/>
        <w:lang w:val="en-US"/>
      </w:rPr>
      <w:t xml:space="preserve">Phone: +49 7940 123-0 </w:t>
    </w:r>
  </w:p>
  <w:p w14:paraId="0DC3D898" w14:textId="77777777" w:rsidR="00E200F4" w:rsidRPr="000E2FB8" w:rsidRDefault="00E200F4" w:rsidP="00E200F4">
    <w:pPr>
      <w:pStyle w:val="Webseite"/>
      <w:rPr>
        <w:b w:val="0"/>
        <w:bCs/>
        <w:color w:val="auto"/>
        <w:lang w:val="en-US"/>
      </w:rPr>
    </w:pPr>
    <w:r>
      <w:rPr>
        <w:b w:val="0"/>
        <w:bCs/>
        <w:color w:val="auto"/>
        <w:lang w:val="en-US"/>
      </w:rPr>
      <w:t>gemu-group.com</w:t>
    </w:r>
  </w:p>
  <w:p w14:paraId="2D58FF82" w14:textId="77777777" w:rsidR="00E200F4" w:rsidRPr="00BA7E08" w:rsidRDefault="00E200F4" w:rsidP="00E200F4">
    <w:pPr>
      <w:pStyle w:val="Webseite"/>
      <w:rPr>
        <w:color w:val="A6A6A6" w:themeColor="background1" w:themeShade="A6"/>
        <w:sz w:val="12"/>
        <w:szCs w:val="12"/>
        <w:lang w:val="en-US"/>
      </w:rPr>
    </w:pPr>
  </w:p>
  <w:p w14:paraId="4A4EF239" w14:textId="77777777" w:rsidR="00E200F4" w:rsidRPr="000E2FB8" w:rsidRDefault="00E200F4" w:rsidP="00E200F4">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200F4">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1AF3FEF" w14:textId="77777777" w:rsidR="00E200F4" w:rsidRPr="00E200F4" w:rsidRDefault="00E200F4" w:rsidP="00E200F4">
    <w:pPr>
      <w:pStyle w:val="Fuzeile"/>
      <w:spacing w:line="240" w:lineRule="auto"/>
      <w:rPr>
        <w:color w:val="A6A6A6" w:themeColor="background1" w:themeShade="A6"/>
        <w:sz w:val="10"/>
        <w:szCs w:val="10"/>
        <w:lang w:val="en-US"/>
      </w:rPr>
    </w:pPr>
    <w:r w:rsidRPr="00E200F4">
      <w:rPr>
        <w:color w:val="A6A6A6" w:themeColor="background1" w:themeShade="A6"/>
        <w:sz w:val="10"/>
        <w:szCs w:val="10"/>
        <w:lang w:val="en-US"/>
      </w:rPr>
      <w:t>Managing Directors: Gert Müller, Stephan Müller, Matthias Fick</w:t>
    </w:r>
  </w:p>
  <w:p w14:paraId="4B349BC0" w14:textId="77777777" w:rsidR="00E200F4" w:rsidRPr="000E2FB8" w:rsidRDefault="00E200F4" w:rsidP="00E200F4">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1F20" w14:textId="77777777" w:rsidR="00E200F4" w:rsidRPr="004951EC" w:rsidRDefault="00E200F4" w:rsidP="00E200F4">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28DBCAB8" w14:textId="77777777" w:rsidR="00E200F4" w:rsidRDefault="00E200F4" w:rsidP="00E200F4">
    <w:pPr>
      <w:pStyle w:val="Webseite"/>
      <w:rPr>
        <w:b w:val="0"/>
        <w:bCs/>
        <w:color w:val="auto"/>
        <w:lang w:val="en-US"/>
      </w:rPr>
    </w:pPr>
    <w:r w:rsidRPr="000E2FB8">
      <w:rPr>
        <w:b w:val="0"/>
        <w:bCs/>
        <w:color w:val="auto"/>
        <w:lang w:val="en-US"/>
      </w:rPr>
      <w:t xml:space="preserve">Phone: +49 7940 123-0 </w:t>
    </w:r>
  </w:p>
  <w:p w14:paraId="12FCC23F" w14:textId="77777777" w:rsidR="00E200F4" w:rsidRPr="000E2FB8" w:rsidRDefault="00E200F4" w:rsidP="00E200F4">
    <w:pPr>
      <w:pStyle w:val="Webseite"/>
      <w:rPr>
        <w:b w:val="0"/>
        <w:bCs/>
        <w:color w:val="auto"/>
        <w:lang w:val="en-US"/>
      </w:rPr>
    </w:pPr>
    <w:r>
      <w:rPr>
        <w:b w:val="0"/>
        <w:bCs/>
        <w:color w:val="auto"/>
        <w:lang w:val="en-US"/>
      </w:rPr>
      <w:t>gemu-group.com</w:t>
    </w:r>
  </w:p>
  <w:p w14:paraId="05B4B6B8" w14:textId="77777777" w:rsidR="00E200F4" w:rsidRPr="00BA7E08" w:rsidRDefault="00E200F4" w:rsidP="00E200F4">
    <w:pPr>
      <w:pStyle w:val="Webseite"/>
      <w:rPr>
        <w:color w:val="A6A6A6" w:themeColor="background1" w:themeShade="A6"/>
        <w:sz w:val="12"/>
        <w:szCs w:val="12"/>
        <w:lang w:val="en-US"/>
      </w:rPr>
    </w:pPr>
  </w:p>
  <w:p w14:paraId="00D25D6E" w14:textId="77777777" w:rsidR="00E200F4" w:rsidRPr="000E2FB8" w:rsidRDefault="00E200F4" w:rsidP="00E200F4">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200F4">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56FB5C" w14:textId="77777777" w:rsidR="00E200F4" w:rsidRPr="00E200F4" w:rsidRDefault="00E200F4" w:rsidP="00E200F4">
    <w:pPr>
      <w:pStyle w:val="Fuzeile"/>
      <w:spacing w:line="240" w:lineRule="auto"/>
      <w:rPr>
        <w:color w:val="A6A6A6" w:themeColor="background1" w:themeShade="A6"/>
        <w:sz w:val="10"/>
        <w:szCs w:val="10"/>
        <w:lang w:val="en-US"/>
      </w:rPr>
    </w:pPr>
    <w:r w:rsidRPr="00E200F4">
      <w:rPr>
        <w:color w:val="A6A6A6" w:themeColor="background1" w:themeShade="A6"/>
        <w:sz w:val="10"/>
        <w:szCs w:val="10"/>
        <w:lang w:val="en-US"/>
      </w:rPr>
      <w:t>Managing Directors: Gert Müller, Stephan Müller, Matthias Fick</w:t>
    </w:r>
  </w:p>
  <w:p w14:paraId="20F5CD52" w14:textId="77777777" w:rsidR="00E200F4" w:rsidRPr="000E2FB8" w:rsidRDefault="00E200F4" w:rsidP="00E200F4">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BC9A" w14:textId="30BE09A5" w:rsidR="00DF0B01" w:rsidRDefault="00307CB7" w:rsidP="00307CB7">
    <w:pPr>
      <w:pStyle w:val="Kopfzeile"/>
      <w:tabs>
        <w:tab w:val="clear" w:pos="9072"/>
        <w:tab w:val="left" w:pos="1253"/>
      </w:tabs>
      <w:ind w:right="-186"/>
    </w:pPr>
    <w:r>
      <w:tab/>
    </w:r>
    <w:r>
      <w:rPr>
        <w:noProof/>
      </w:rPr>
      <w:drawing>
        <wp:anchor distT="0" distB="0" distL="114300" distR="114300" simplePos="0" relativeHeight="251666944" behindDoc="0" locked="0" layoutInCell="1" allowOverlap="1" wp14:anchorId="0584BCC3" wp14:editId="504A32B2">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tab/>
    </w:r>
  </w:p>
  <w:p w14:paraId="6A853416" w14:textId="76777A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311FBF79">
          <wp:simplePos x="0" y="0"/>
          <wp:positionH relativeFrom="margin">
            <wp:posOffset>-3386</wp:posOffset>
          </wp:positionH>
          <wp:positionV relativeFrom="margin">
            <wp:posOffset>-1080135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07CB7"/>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4716E"/>
    <w:rsid w:val="004673E1"/>
    <w:rsid w:val="00483859"/>
    <w:rsid w:val="0049316D"/>
    <w:rsid w:val="00495A0D"/>
    <w:rsid w:val="004A01E1"/>
    <w:rsid w:val="004A5F7D"/>
    <w:rsid w:val="004C06A3"/>
    <w:rsid w:val="004C0DE7"/>
    <w:rsid w:val="004C52F6"/>
    <w:rsid w:val="004C6A28"/>
    <w:rsid w:val="004E1B55"/>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571A1"/>
    <w:rsid w:val="00662094"/>
    <w:rsid w:val="006854E8"/>
    <w:rsid w:val="0069406E"/>
    <w:rsid w:val="00695FA5"/>
    <w:rsid w:val="0069627D"/>
    <w:rsid w:val="00697EFD"/>
    <w:rsid w:val="006A393C"/>
    <w:rsid w:val="006B12C6"/>
    <w:rsid w:val="006B3B6F"/>
    <w:rsid w:val="006D5431"/>
    <w:rsid w:val="006E41C5"/>
    <w:rsid w:val="006E461A"/>
    <w:rsid w:val="007154BE"/>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3AB"/>
    <w:rsid w:val="00817547"/>
    <w:rsid w:val="008279E1"/>
    <w:rsid w:val="00827B88"/>
    <w:rsid w:val="00831819"/>
    <w:rsid w:val="008544E3"/>
    <w:rsid w:val="00856DA1"/>
    <w:rsid w:val="00871AEA"/>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4AF2"/>
    <w:rsid w:val="00DD60B0"/>
    <w:rsid w:val="00DD67EE"/>
    <w:rsid w:val="00DE11BC"/>
    <w:rsid w:val="00DE7E33"/>
    <w:rsid w:val="00DF0B01"/>
    <w:rsid w:val="00E200F4"/>
    <w:rsid w:val="00E233F6"/>
    <w:rsid w:val="00E25683"/>
    <w:rsid w:val="00E3460D"/>
    <w:rsid w:val="00E35F2A"/>
    <w:rsid w:val="00E47272"/>
    <w:rsid w:val="00E5075F"/>
    <w:rsid w:val="00E70F64"/>
    <w:rsid w:val="00E718DB"/>
    <w:rsid w:val="00E76A3E"/>
    <w:rsid w:val="00E77CB9"/>
    <w:rsid w:val="00E867C7"/>
    <w:rsid w:val="00EA0C47"/>
    <w:rsid w:val="00EB3429"/>
    <w:rsid w:val="00EB59E1"/>
    <w:rsid w:val="00EC29F4"/>
    <w:rsid w:val="00ED4841"/>
    <w:rsid w:val="00EF5A6D"/>
    <w:rsid w:val="00EF626D"/>
    <w:rsid w:val="00EF7DC5"/>
    <w:rsid w:val="00F01865"/>
    <w:rsid w:val="00F1417C"/>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i_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5216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40</cp:revision>
  <cp:lastPrinted>2017-08-14T14:05:00Z</cp:lastPrinted>
  <dcterms:created xsi:type="dcterms:W3CDTF">2020-07-20T09:17:00Z</dcterms:created>
  <dcterms:modified xsi:type="dcterms:W3CDTF">2025-10-27T14:04:00Z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