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A30E81">
      <w:pPr>
        <w:pStyle w:val="Untertitel"/>
        <w:spacing w:line="360" w:lineRule="auto"/>
        <w:rPr>
          <w:rFonts w:cs="Arial"/>
          <w:b w:val="0"/>
          <w:sz w:val="22"/>
        </w:rPr>
      </w:pPr>
    </w:p>
    <w:p w:rsidR="00A84F3C" w:rsidRPr="00DE11BC" w:rsidRDefault="00A84F3C" w:rsidP="00A30E81">
      <w:pPr>
        <w:pStyle w:val="Kopfzeile"/>
        <w:tabs>
          <w:tab w:val="clear" w:pos="4536"/>
          <w:tab w:val="clear" w:pos="9072"/>
        </w:tabs>
        <w:spacing w:line="360" w:lineRule="auto"/>
        <w:rPr>
          <w:rFonts w:cs="Arial"/>
          <w:sz w:val="22"/>
        </w:rPr>
      </w:pPr>
    </w:p>
    <w:p w:rsidR="00A84F3C" w:rsidRPr="00DE11BC" w:rsidRDefault="00A84F3C" w:rsidP="00A30E81">
      <w:pPr>
        <w:pStyle w:val="Kopfzeile"/>
        <w:tabs>
          <w:tab w:val="clear" w:pos="4536"/>
          <w:tab w:val="clear" w:pos="9072"/>
          <w:tab w:val="left" w:pos="8222"/>
        </w:tabs>
        <w:spacing w:line="360" w:lineRule="auto"/>
        <w:rPr>
          <w:rFonts w:cs="Arial"/>
          <w:sz w:val="22"/>
        </w:rPr>
      </w:pPr>
    </w:p>
    <w:p w:rsidR="00B37265" w:rsidRPr="004A7398" w:rsidRDefault="00B37265" w:rsidP="00A30E81">
      <w:pPr>
        <w:tabs>
          <w:tab w:val="left" w:pos="7088"/>
        </w:tabs>
        <w:spacing w:line="360" w:lineRule="auto"/>
        <w:rPr>
          <w:sz w:val="14"/>
          <w:szCs w:val="18"/>
          <w:lang w:val="en-US"/>
        </w:rPr>
      </w:pPr>
    </w:p>
    <w:p w:rsidR="00A65266" w:rsidRPr="000B7CB3" w:rsidRDefault="00A65266" w:rsidP="00A30E81">
      <w:pPr>
        <w:tabs>
          <w:tab w:val="left" w:pos="7088"/>
        </w:tabs>
        <w:spacing w:line="360" w:lineRule="auto"/>
        <w:rPr>
          <w:rFonts w:cs="Arial"/>
          <w:sz w:val="22"/>
          <w:szCs w:val="22"/>
          <w:lang w:val="en-US"/>
        </w:rPr>
      </w:pPr>
    </w:p>
    <w:p w:rsidR="003235F6" w:rsidRPr="003235F6" w:rsidRDefault="003235F6" w:rsidP="00A30E81">
      <w:pPr>
        <w:spacing w:after="200" w:line="360" w:lineRule="auto"/>
        <w:rPr>
          <w:rFonts w:cs="Arial"/>
          <w:b/>
          <w:sz w:val="32"/>
          <w:szCs w:val="40"/>
          <w:lang w:val="fi-FI" w:eastAsia="en-US"/>
        </w:rPr>
      </w:pPr>
      <w:r w:rsidRPr="003235F6">
        <w:rPr>
          <w:rFonts w:cs="Arial"/>
          <w:b/>
          <w:sz w:val="32"/>
          <w:szCs w:val="40"/>
          <w:lang w:val="fi-FI" w:eastAsia="en-US"/>
        </w:rPr>
        <w:t xml:space="preserve">Uudet venttiilin toimilaitteet GEMÜ GDR ja GSR pneumaattisesti käytettäville kääntyväliikkeisille venttiileille </w:t>
      </w:r>
    </w:p>
    <w:p w:rsidR="003235F6" w:rsidRPr="003235F6" w:rsidRDefault="003235F6" w:rsidP="00A30E81">
      <w:pPr>
        <w:spacing w:after="200" w:line="360" w:lineRule="auto"/>
        <w:rPr>
          <w:rFonts w:cs="Arial"/>
          <w:b/>
          <w:sz w:val="22"/>
          <w:szCs w:val="22"/>
          <w:lang w:val="fi-FI" w:eastAsia="en-US"/>
        </w:rPr>
      </w:pPr>
    </w:p>
    <w:p w:rsidR="003235F6" w:rsidRPr="003235F6" w:rsidRDefault="003235F6" w:rsidP="00A30E81">
      <w:pPr>
        <w:spacing w:after="200" w:line="360" w:lineRule="auto"/>
        <w:rPr>
          <w:rFonts w:eastAsiaTheme="minorEastAsia" w:cs="Arial"/>
          <w:sz w:val="22"/>
          <w:szCs w:val="22"/>
          <w:lang w:val="fi-FI" w:eastAsia="zh-CN"/>
        </w:rPr>
      </w:pPr>
      <w:r w:rsidRPr="003235F6">
        <w:rPr>
          <w:rFonts w:eastAsiaTheme="minorEastAsia" w:cs="Arial"/>
          <w:b/>
          <w:bCs/>
          <w:iCs/>
          <w:sz w:val="22"/>
          <w:szCs w:val="28"/>
          <w:lang w:val="fi-FI" w:eastAsia="en-US"/>
        </w:rPr>
        <w:t>Venttiiliasiantuntija GEMÜ laajentaa pneumaattisesti käytettävien läppäventtiilien ja palloventtiilien va</w:t>
      </w:r>
      <w:bookmarkStart w:id="0" w:name="_GoBack"/>
      <w:bookmarkEnd w:id="0"/>
      <w:r w:rsidRPr="003235F6">
        <w:rPr>
          <w:rFonts w:eastAsiaTheme="minorEastAsia" w:cs="Arial"/>
          <w:b/>
          <w:bCs/>
          <w:iCs/>
          <w:sz w:val="22"/>
          <w:szCs w:val="28"/>
          <w:lang w:val="fi-FI" w:eastAsia="en-US"/>
        </w:rPr>
        <w:t>likoimaansa ja tarjoaa vastedes myös yksinkertaisella Basic-toimilaitteella GEMÜ GDR tai GSR varustettuja malleja.</w:t>
      </w:r>
      <w:r w:rsidRPr="003235F6">
        <w:rPr>
          <w:rFonts w:eastAsiaTheme="minorEastAsia" w:cs="Arial"/>
          <w:b/>
          <w:bCs/>
          <w:iCs/>
          <w:sz w:val="22"/>
          <w:szCs w:val="28"/>
          <w:lang w:val="fi-FI" w:eastAsia="en-US"/>
        </w:rPr>
        <w:br/>
      </w:r>
      <w:r w:rsidRPr="003235F6">
        <w:rPr>
          <w:rFonts w:eastAsiaTheme="minorEastAsia" w:cs="Arial"/>
          <w:sz w:val="22"/>
          <w:szCs w:val="28"/>
          <w:lang w:val="fi-FI" w:eastAsia="en-US"/>
        </w:rPr>
        <w:br/>
        <w:t xml:space="preserve">Basic-toimilaitteet GEMÜ GDR ja GSR ovat saatavilla pneumaattisesti käytettäville läppäventtiileille ja palloventtiileille. Yksitoiminen malli GEMÜ GSR ja kaksitoiminen malli GEMÜ GDR soveltuvat yksinkertaisiin avaus-/sulkusovelluksiin ei-syövyttäviin ympäristöihin. Ääriasentoja voidaan säätää ± 5°. Toimilaitteita voidaan ohjata vähintään 2,5 baarin ja enintään 8 baarin ohjauspaineella, ja ne soveltuvat vähäisistä keskisuuriin kytkennän vaihdoksiin. Optinen asennon näyttö on toteutettu asteikkorenkaalla varustetulla kiekolla. Sen avulla läpän asento putkessa voidaan määrittää nopeasti ja helposti. </w:t>
      </w:r>
    </w:p>
    <w:p w:rsidR="003235F6" w:rsidRPr="003235F6" w:rsidRDefault="003235F6" w:rsidP="00A30E81">
      <w:pPr>
        <w:spacing w:after="200" w:line="360" w:lineRule="auto"/>
        <w:rPr>
          <w:rFonts w:cs="Arial"/>
          <w:sz w:val="22"/>
          <w:szCs w:val="22"/>
          <w:lang w:val="fi-FI" w:eastAsia="en-US"/>
        </w:rPr>
      </w:pPr>
      <w:r w:rsidRPr="003235F6">
        <w:rPr>
          <w:rFonts w:eastAsiaTheme="minorEastAsia" w:cs="Arial"/>
          <w:sz w:val="22"/>
          <w:szCs w:val="28"/>
          <w:lang w:val="fi-FI" w:eastAsia="en-US"/>
        </w:rPr>
        <w:t xml:space="preserve">Standardin DIN EN ISO 5211 mukainen laippaliitäntä F03-F14 mahdollistaa helpon ja nopean asennuksen kääntyväliikkeisiin GEMÜ-venttiileihin enimmäisnimelliskokoon DN 350 saakka. Toimilaitteissa on lisäksi standardin </w:t>
      </w:r>
      <w:r w:rsidRPr="003235F6">
        <w:rPr>
          <w:rFonts w:cs="Arial"/>
          <w:sz w:val="22"/>
          <w:szCs w:val="28"/>
          <w:lang w:val="fi-FI" w:eastAsia="en-US"/>
        </w:rPr>
        <w:t>VDI/VDE 3845</w:t>
      </w:r>
      <w:r w:rsidRPr="003235F6">
        <w:rPr>
          <w:rFonts w:eastAsiaTheme="minorEastAsia" w:cs="Arial"/>
          <w:sz w:val="22"/>
          <w:szCs w:val="28"/>
          <w:lang w:val="fi-FI" w:eastAsia="en-US"/>
        </w:rPr>
        <w:t xml:space="preserve"> mukainen liitäntä </w:t>
      </w:r>
      <w:r w:rsidRPr="003235F6">
        <w:rPr>
          <w:rFonts w:cs="Arial"/>
          <w:sz w:val="22"/>
          <w:szCs w:val="28"/>
          <w:lang w:val="fi-FI" w:eastAsia="en-US"/>
        </w:rPr>
        <w:t>asennonilmaisinta,</w:t>
      </w:r>
      <w:r w:rsidRPr="003235F6">
        <w:rPr>
          <w:rFonts w:eastAsiaTheme="minorEastAsia" w:cs="Arial"/>
          <w:sz w:val="22"/>
          <w:szCs w:val="28"/>
          <w:lang w:val="fi-FI" w:eastAsia="en-US"/>
        </w:rPr>
        <w:t xml:space="preserve"> esiohjausventtiiliä ja muita lisävarusteita varten</w:t>
      </w:r>
      <w:r w:rsidRPr="003235F6">
        <w:rPr>
          <w:rFonts w:cs="Arial"/>
          <w:sz w:val="22"/>
          <w:szCs w:val="28"/>
          <w:lang w:val="fi-FI" w:eastAsia="en-US"/>
        </w:rPr>
        <w:t>. Alumiinikotelon</w:t>
      </w:r>
      <w:r w:rsidRPr="003235F6">
        <w:rPr>
          <w:rFonts w:eastAsiaTheme="minorEastAsia" w:cs="Arial"/>
          <w:sz w:val="22"/>
          <w:szCs w:val="28"/>
          <w:lang w:val="fi-FI" w:eastAsia="en-US"/>
        </w:rPr>
        <w:t xml:space="preserve"> ja epoksipinnoitetun kannen ansiosta toimilaitteet on suojattu korroosiolta. </w:t>
      </w:r>
    </w:p>
    <w:p w:rsidR="003235F6" w:rsidRDefault="003235F6" w:rsidP="00A30E81">
      <w:pPr>
        <w:spacing w:after="200" w:line="360" w:lineRule="auto"/>
        <w:rPr>
          <w:rFonts w:eastAsiaTheme="minorEastAsia" w:cs="Arial"/>
          <w:noProof/>
          <w:lang w:val="fi-FI" w:eastAsia="zh-CN"/>
        </w:rPr>
      </w:pPr>
      <w:r>
        <w:rPr>
          <w:noProof/>
        </w:rPr>
        <w:lastRenderedPageBreak/>
        <w:drawing>
          <wp:anchor distT="0" distB="0" distL="114300" distR="114300" simplePos="0" relativeHeight="251658240" behindDoc="0" locked="0" layoutInCell="1" allowOverlap="1" wp14:anchorId="57C88276">
            <wp:simplePos x="0" y="0"/>
            <wp:positionH relativeFrom="column">
              <wp:posOffset>-3283</wp:posOffset>
            </wp:positionH>
            <wp:positionV relativeFrom="paragraph">
              <wp:posOffset>1833</wp:posOffset>
            </wp:positionV>
            <wp:extent cx="2927537" cy="1809750"/>
            <wp:effectExtent l="0" t="0" r="6350" b="0"/>
            <wp:wrapThrough wrapText="bothSides">
              <wp:wrapPolygon edited="0">
                <wp:start x="0" y="0"/>
                <wp:lineTo x="0" y="21373"/>
                <wp:lineTo x="21506" y="21373"/>
                <wp:lineTo x="21506"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7537" cy="1809750"/>
                    </a:xfrm>
                    <a:prstGeom prst="rect">
                      <a:avLst/>
                    </a:prstGeom>
                    <a:noFill/>
                    <a:ln>
                      <a:noFill/>
                    </a:ln>
                  </pic:spPr>
                </pic:pic>
              </a:graphicData>
            </a:graphic>
          </wp:anchor>
        </w:drawing>
      </w:r>
    </w:p>
    <w:p w:rsidR="003235F6" w:rsidRDefault="003235F6" w:rsidP="00A30E81">
      <w:pPr>
        <w:spacing w:after="200" w:line="360" w:lineRule="auto"/>
        <w:rPr>
          <w:rFonts w:eastAsiaTheme="minorEastAsia" w:cs="Arial"/>
          <w:szCs w:val="22"/>
          <w:lang w:val="fi-FI" w:eastAsia="en-US"/>
        </w:rPr>
      </w:pPr>
    </w:p>
    <w:p w:rsidR="003235F6" w:rsidRDefault="003235F6" w:rsidP="00A30E81">
      <w:pPr>
        <w:spacing w:after="200" w:line="360" w:lineRule="auto"/>
        <w:rPr>
          <w:rFonts w:eastAsiaTheme="minorEastAsia" w:cs="Arial"/>
          <w:szCs w:val="22"/>
          <w:lang w:val="fi-FI" w:eastAsia="en-US"/>
        </w:rPr>
      </w:pPr>
    </w:p>
    <w:p w:rsidR="003235F6" w:rsidRDefault="003235F6" w:rsidP="00A30E81">
      <w:pPr>
        <w:spacing w:after="200" w:line="360" w:lineRule="auto"/>
        <w:rPr>
          <w:rFonts w:eastAsiaTheme="minorEastAsia" w:cs="Arial"/>
          <w:szCs w:val="22"/>
          <w:lang w:val="fi-FI" w:eastAsia="en-US"/>
        </w:rPr>
      </w:pPr>
    </w:p>
    <w:p w:rsidR="003235F6" w:rsidRDefault="003235F6" w:rsidP="00A30E81">
      <w:pPr>
        <w:spacing w:after="200" w:line="360" w:lineRule="auto"/>
        <w:rPr>
          <w:rFonts w:eastAsiaTheme="minorEastAsia" w:cs="Arial"/>
          <w:szCs w:val="22"/>
          <w:lang w:val="fi-FI" w:eastAsia="en-US"/>
        </w:rPr>
      </w:pPr>
    </w:p>
    <w:p w:rsidR="003235F6" w:rsidRDefault="003235F6" w:rsidP="00A30E81">
      <w:pPr>
        <w:spacing w:after="200" w:line="360" w:lineRule="auto"/>
        <w:rPr>
          <w:rFonts w:eastAsiaTheme="minorEastAsia" w:cs="Arial"/>
          <w:szCs w:val="22"/>
          <w:lang w:val="fi-FI" w:eastAsia="en-US"/>
        </w:rPr>
      </w:pPr>
    </w:p>
    <w:p w:rsidR="000B7CB3" w:rsidRPr="003235F6" w:rsidRDefault="003235F6" w:rsidP="00A30E81">
      <w:pPr>
        <w:spacing w:after="200" w:line="360" w:lineRule="auto"/>
        <w:rPr>
          <w:rFonts w:eastAsiaTheme="minorEastAsia" w:cs="Arial"/>
          <w:lang w:val="fi-FI" w:eastAsia="zh-CN"/>
        </w:rPr>
      </w:pPr>
      <w:r w:rsidRPr="003235F6">
        <w:rPr>
          <w:rFonts w:eastAsiaTheme="minorEastAsia" w:cs="Arial"/>
          <w:szCs w:val="22"/>
          <w:lang w:val="fi-FI" w:eastAsia="en-US"/>
        </w:rPr>
        <w:t>Pneumaattinen toimilaite GEMÜ GDR kääntyväliikkeisille venttiileille</w:t>
      </w:r>
    </w:p>
    <w:p w:rsidR="00A30E81" w:rsidRDefault="00A30E81" w:rsidP="004C06A3">
      <w:pPr>
        <w:autoSpaceDE w:val="0"/>
        <w:autoSpaceDN w:val="0"/>
        <w:adjustRightInd w:val="0"/>
        <w:spacing w:line="360" w:lineRule="auto"/>
        <w:rPr>
          <w:rFonts w:cs="Arial"/>
          <w:b/>
          <w:bCs/>
          <w:lang w:val="fi-FI"/>
        </w:rPr>
      </w:pPr>
    </w:p>
    <w:p w:rsidR="00A30E81" w:rsidRDefault="00A30E81" w:rsidP="004C06A3">
      <w:pPr>
        <w:autoSpaceDE w:val="0"/>
        <w:autoSpaceDN w:val="0"/>
        <w:adjustRightInd w:val="0"/>
        <w:spacing w:line="360" w:lineRule="auto"/>
        <w:rPr>
          <w:rFonts w:cs="Arial"/>
          <w:b/>
          <w:bCs/>
          <w:lang w:val="fi-FI"/>
        </w:rPr>
      </w:pPr>
    </w:p>
    <w:p w:rsidR="00A30E81" w:rsidRDefault="00A30E81" w:rsidP="004C06A3">
      <w:pPr>
        <w:autoSpaceDE w:val="0"/>
        <w:autoSpaceDN w:val="0"/>
        <w:adjustRightInd w:val="0"/>
        <w:spacing w:line="360" w:lineRule="auto"/>
        <w:rPr>
          <w:rFonts w:cs="Arial"/>
          <w:b/>
          <w:bCs/>
          <w:lang w:val="fi-FI"/>
        </w:rPr>
      </w:pPr>
    </w:p>
    <w:p w:rsidR="00A30E81" w:rsidRDefault="00A30E81" w:rsidP="004C06A3">
      <w:pPr>
        <w:autoSpaceDE w:val="0"/>
        <w:autoSpaceDN w:val="0"/>
        <w:adjustRightInd w:val="0"/>
        <w:spacing w:line="360" w:lineRule="auto"/>
        <w:rPr>
          <w:rFonts w:cs="Arial"/>
          <w:b/>
          <w:bCs/>
          <w:lang w:val="fi-FI"/>
        </w:rPr>
      </w:pPr>
    </w:p>
    <w:p w:rsidR="00A30E81" w:rsidRDefault="00A30E81" w:rsidP="004C06A3">
      <w:pPr>
        <w:autoSpaceDE w:val="0"/>
        <w:autoSpaceDN w:val="0"/>
        <w:adjustRightInd w:val="0"/>
        <w:spacing w:line="360" w:lineRule="auto"/>
        <w:rPr>
          <w:rFonts w:cs="Arial"/>
          <w:b/>
          <w:bCs/>
          <w:lang w:val="fi-FI"/>
        </w:rPr>
      </w:pPr>
    </w:p>
    <w:p w:rsidR="00A30E81" w:rsidRDefault="00A30E81" w:rsidP="004C06A3">
      <w:pPr>
        <w:autoSpaceDE w:val="0"/>
        <w:autoSpaceDN w:val="0"/>
        <w:adjustRightInd w:val="0"/>
        <w:spacing w:line="360" w:lineRule="auto"/>
        <w:rPr>
          <w:rFonts w:cs="Arial"/>
          <w:b/>
          <w:bCs/>
          <w:lang w:val="fi-FI"/>
        </w:rPr>
      </w:pPr>
    </w:p>
    <w:p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2019 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A" w:rsidRDefault="00586A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A" w:rsidRDefault="00586A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235F6"/>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0E81"/>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B4CD1E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29577C8-8449-43F5-8E77-AE0B61FE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2188</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Eichhorn, Selina</cp:lastModifiedBy>
  <cp:revision>13</cp:revision>
  <cp:lastPrinted>2017-08-14T14:05:00Z</cp:lastPrinted>
  <dcterms:created xsi:type="dcterms:W3CDTF">2020-07-20T09:17:00Z</dcterms:created>
  <dcterms:modified xsi:type="dcterms:W3CDTF">2020-11-20T13:51:00Z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