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DA5A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3E648803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1C2B95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164D7881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3514B94B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36698668" w14:textId="77777777" w:rsidR="00C47572" w:rsidRPr="00C47572" w:rsidRDefault="00C47572" w:rsidP="00C47572">
      <w:pPr>
        <w:spacing w:line="360" w:lineRule="auto"/>
        <w:rPr>
          <w:rFonts w:eastAsiaTheme="minorEastAsia" w:cstheme="minorBidi"/>
          <w:b/>
          <w:bCs/>
          <w:sz w:val="28"/>
          <w:szCs w:val="22"/>
          <w:lang w:val="ru-RU"/>
        </w:rPr>
      </w:pPr>
      <w:r w:rsidRPr="00C47572">
        <w:rPr>
          <w:rFonts w:eastAsiaTheme="minorEastAsia" w:cstheme="minorBidi"/>
          <w:b/>
          <w:sz w:val="28"/>
          <w:szCs w:val="22"/>
          <w:lang w:val="ru-RU"/>
        </w:rPr>
        <w:t>Две новые мембраны для сложных условий работы с химическими средами</w:t>
      </w:r>
    </w:p>
    <w:p w14:paraId="02E769C7" w14:textId="77777777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66CA6254" w14:textId="77777777" w:rsidR="00C47572" w:rsidRPr="00C47572" w:rsidRDefault="00C47572" w:rsidP="00C47572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C47572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Компания GEMÜ, специализирующаяся на производстве клапанов, выводит на рынок сразу два новых уплотнительных элемента собственной разработки — мембраны GEMÜ с кодами 71 и 5T. Обе мембраны соответствуют высоким требованиям химического производства. </w:t>
      </w:r>
    </w:p>
    <w:p w14:paraId="404C1C58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2128BBEE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  <w:r w:rsidRPr="00C47572">
        <w:rPr>
          <w:rFonts w:eastAsiaTheme="minorEastAsia" w:cstheme="minorBidi"/>
          <w:b/>
          <w:sz w:val="22"/>
          <w:szCs w:val="22"/>
          <w:lang w:val="ru-RU"/>
        </w:rPr>
        <w:t>Трехслойная мембрана GEMÜ из PTFE/PVDF/EPDM с кодом 71</w:t>
      </w:r>
    </w:p>
    <w:p w14:paraId="32BE62AB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C47572">
        <w:rPr>
          <w:rFonts w:eastAsiaTheme="minorEastAsia" w:cstheme="minorBidi"/>
          <w:sz w:val="22"/>
          <w:szCs w:val="22"/>
          <w:lang w:val="ru-RU"/>
        </w:rPr>
        <w:t xml:space="preserve"> </w:t>
      </w:r>
    </w:p>
    <w:p w14:paraId="4CDBFF5B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C47572">
        <w:rPr>
          <w:rFonts w:eastAsiaTheme="minorEastAsia" w:cstheme="minorBidi"/>
          <w:sz w:val="22"/>
          <w:szCs w:val="22"/>
          <w:lang w:val="ru-RU"/>
        </w:rPr>
        <w:t xml:space="preserve">Трехслойная мембрана GEMÜ с кодом 71 была разработана специально для агрессивных и летучих рабочих сред. Она имеет подпорный слой из PTFE, промежуточный слой из PVDF и заднюю часть из EPDM. Форма и размеры подпорного слоя из PTFE заимствованы из проверенной конструкции мембраны GEMÜ с кодом 5M. Промежуточный слой из PVDF обеспечивает очень хорошие свойства в плане проницаемости по отношению к промышленным газам. Благодаря использованию высококачественных материалов мембрана устойчива к агрессивным химикатам, таким как летучие кислоты, окислители и соли, а также к влажному хлору, брому и их производным. </w:t>
      </w:r>
    </w:p>
    <w:p w14:paraId="2EE0199B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C47572">
        <w:rPr>
          <w:rFonts w:eastAsiaTheme="minorEastAsia" w:cstheme="minorBidi"/>
          <w:sz w:val="22"/>
          <w:szCs w:val="22"/>
          <w:lang w:val="ru-RU"/>
        </w:rPr>
        <w:t xml:space="preserve">Мембрана GEMÜ с кодом 71 предлагается в исполнении размеров 10–100 и используется в корпусах клапанов из ассортимента GEMÜ с футеровкой из PFA. </w:t>
      </w:r>
    </w:p>
    <w:p w14:paraId="66431716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36D9A7A5" w14:textId="2B53F951" w:rsid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sz w:val="22"/>
          <w:szCs w:val="22"/>
          <w:lang w:val="ru-RU"/>
        </w:rPr>
      </w:pPr>
      <w:r w:rsidRPr="00C47572">
        <w:rPr>
          <w:rFonts w:eastAsiaTheme="minorEastAsia" w:cstheme="minorBidi"/>
          <w:b/>
          <w:sz w:val="22"/>
          <w:szCs w:val="22"/>
          <w:lang w:val="ru-RU"/>
        </w:rPr>
        <w:t>Двухслойная мембрана GEMÜ из PTFE/FKM с кодом 5T</w:t>
      </w:r>
    </w:p>
    <w:p w14:paraId="4F90751D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</w:p>
    <w:p w14:paraId="57013A0F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C47572">
        <w:rPr>
          <w:rFonts w:eastAsiaTheme="minorEastAsia" w:cstheme="minorBidi"/>
          <w:sz w:val="22"/>
          <w:szCs w:val="22"/>
          <w:lang w:val="ru-RU"/>
        </w:rPr>
        <w:t xml:space="preserve">Мембрана GEMÜ с кодом 5T представляет собой двухкомпонентную мембрану, имеющую подпорный слой из PTFE и заднюю часть из FKM. Для изготовления мембраны используется химически модифицированный PTFE второго поколения, так называемый TFM™. Мембрана </w:t>
      </w:r>
      <w:r w:rsidRPr="00C47572">
        <w:rPr>
          <w:rFonts w:eastAsiaTheme="minorEastAsia" w:cstheme="minorBidi"/>
          <w:sz w:val="22"/>
          <w:szCs w:val="22"/>
          <w:lang w:val="ru-RU"/>
        </w:rPr>
        <w:lastRenderedPageBreak/>
        <w:t>разработана для промышленного применения: химия и технологии защиты окружающей среды, а также перерабатывающая промышленность.</w:t>
      </w:r>
    </w:p>
    <w:p w14:paraId="651D3879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C47572">
        <w:rPr>
          <w:rFonts w:eastAsiaTheme="minorEastAsia" w:cstheme="minorBidi"/>
          <w:sz w:val="22"/>
          <w:szCs w:val="22"/>
          <w:lang w:val="ru-RU"/>
        </w:rPr>
        <w:t xml:space="preserve">Мембрана GEMÜ с кодом 5T выпускается в исполнении размеров 10–100, в ней предусмотрен заделанный методом спекания винтовой штифт со встроенным резьбовым упором. </w:t>
      </w:r>
    </w:p>
    <w:p w14:paraId="0290F790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040607BC" w14:textId="346F6A66" w:rsid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5C57D28C" w14:textId="5625862C" w:rsidR="00C47572" w:rsidRPr="00C47572" w:rsidRDefault="00BB789D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89934CD" wp14:editId="288B8F1D">
            <wp:extent cx="4068445" cy="1167765"/>
            <wp:effectExtent l="0" t="0" r="8255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7D0D" w14:textId="77777777" w:rsidR="00C47572" w:rsidRPr="00C47572" w:rsidRDefault="00C47572" w:rsidP="00C4757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lang w:val="ru-RU"/>
        </w:rPr>
      </w:pPr>
      <w:r w:rsidRPr="00C47572">
        <w:rPr>
          <w:rFonts w:eastAsiaTheme="minorEastAsia" w:cstheme="minorBidi"/>
          <w:lang w:val="ru-RU"/>
        </w:rPr>
        <w:t>Мембраны GEMÜ с кодом 71 и с кодом 5T</w:t>
      </w:r>
    </w:p>
    <w:p w14:paraId="62593EDF" w14:textId="77777777" w:rsidR="000B7CB3" w:rsidRPr="000F760B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3FCC904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3B84EA1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0AD6ED3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0881638E" w14:textId="200A5AF4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C47572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</w:t>
      </w:r>
      <w:r w:rsidR="009F403C" w:rsidRPr="009F403C">
        <w:rPr>
          <w:rFonts w:ascii="Arial" w:hAnsi="Arial" w:cs="Arial"/>
          <w:sz w:val="20"/>
          <w:szCs w:val="20"/>
          <w:lang w:val="ru-RU"/>
        </w:rPr>
        <w:t>2</w:t>
      </w:r>
      <w:r w:rsidR="009F403C">
        <w:rPr>
          <w:rFonts w:ascii="Arial" w:hAnsi="Arial" w:cs="Arial"/>
          <w:sz w:val="20"/>
          <w:szCs w:val="20"/>
        </w:rPr>
        <w:t>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66D4FC53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9C00" w14:textId="77777777" w:rsidR="00DD60B0" w:rsidRDefault="00DD60B0">
      <w:r>
        <w:separator/>
      </w:r>
    </w:p>
  </w:endnote>
  <w:endnote w:type="continuationSeparator" w:id="0">
    <w:p w14:paraId="437E832F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FFC8" w14:textId="77777777" w:rsidR="00FF3345" w:rsidRDefault="00FF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AB9F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9A9CACD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11D604B9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A7FF669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A1D05BD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6721D92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2E531E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DB7FF73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4EC2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7CE5427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117F1065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2A4BD52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4FFC95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33DB93D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09C3E119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A9F39D3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EFC5" w14:textId="77777777" w:rsidR="00DD60B0" w:rsidRDefault="00DD60B0">
      <w:r>
        <w:separator/>
      </w:r>
    </w:p>
  </w:footnote>
  <w:footnote w:type="continuationSeparator" w:id="0">
    <w:p w14:paraId="3C7961B1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73A0" w14:textId="77777777" w:rsidR="00FF3345" w:rsidRDefault="00FF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C421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49D30034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324CD2D" wp14:editId="35DFECFF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2656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A93CE93" wp14:editId="4368C96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0237E6" wp14:editId="3E274C18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60C2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AC2F2AE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3E4CEE2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49F10E2" wp14:editId="6557719C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E900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9F403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B789D"/>
    <w:rsid w:val="00BC51EA"/>
    <w:rsid w:val="00BC617B"/>
    <w:rsid w:val="00BE0C8C"/>
    <w:rsid w:val="00C1306E"/>
    <w:rsid w:val="00C41618"/>
    <w:rsid w:val="00C4188C"/>
    <w:rsid w:val="00C44B03"/>
    <w:rsid w:val="00C47572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59D1C7AE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15</cp:revision>
  <cp:lastPrinted>2017-08-14T14:05:00Z</cp:lastPrinted>
  <dcterms:created xsi:type="dcterms:W3CDTF">2020-07-20T09:17:00Z</dcterms:created>
  <dcterms:modified xsi:type="dcterms:W3CDTF">2021-09-23T14:01:00Z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