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DE69" w14:textId="77777777" w:rsidR="00A84F3C" w:rsidRPr="00DE11BC" w:rsidRDefault="00A84F3C" w:rsidP="00F3788D">
      <w:pPr>
        <w:pStyle w:val="Untertitel"/>
        <w:spacing w:line="360" w:lineRule="auto"/>
        <w:rPr>
          <w:rFonts w:cs="Arial"/>
          <w:b w:val="0"/>
          <w:sz w:val="22"/>
        </w:rPr>
      </w:pPr>
    </w:p>
    <w:p w14:paraId="30803DEF" w14:textId="77777777" w:rsidR="00A84F3C" w:rsidRPr="00DE11BC" w:rsidRDefault="00A84F3C" w:rsidP="00F3788D">
      <w:pPr>
        <w:pStyle w:val="Kopfzeile"/>
        <w:tabs>
          <w:tab w:val="clear" w:pos="4536"/>
          <w:tab w:val="clear" w:pos="9072"/>
        </w:tabs>
        <w:spacing w:line="360" w:lineRule="auto"/>
        <w:rPr>
          <w:rFonts w:cs="Arial"/>
          <w:sz w:val="22"/>
        </w:rPr>
      </w:pPr>
    </w:p>
    <w:p w14:paraId="42D4C0DB" w14:textId="77777777" w:rsidR="00A84F3C" w:rsidRPr="006A7EA8" w:rsidRDefault="00FB4008" w:rsidP="00F3788D">
      <w:pPr>
        <w:pStyle w:val="Kopfzeile"/>
        <w:tabs>
          <w:tab w:val="clear" w:pos="4536"/>
          <w:tab w:val="clear" w:pos="9072"/>
          <w:tab w:val="left" w:pos="8222"/>
        </w:tabs>
        <w:spacing w:line="360" w:lineRule="auto"/>
        <w:rPr>
          <w:rFonts w:cs="Arial"/>
          <w:sz w:val="22"/>
          <w:lang w:val="fr-FR"/>
        </w:rPr>
      </w:pPr>
      <w:r w:rsidRPr="006A7EA8">
        <w:rPr>
          <w:rFonts w:cs="Arial"/>
          <w:sz w:val="22"/>
          <w:lang w:val="fr-FR"/>
        </w:rPr>
        <w:t xml:space="preserve">                                      </w:t>
      </w:r>
    </w:p>
    <w:p w14:paraId="76F772E3" w14:textId="77777777" w:rsidR="00B37265" w:rsidRPr="006A7EA8" w:rsidRDefault="00B37265" w:rsidP="00B37265">
      <w:pPr>
        <w:tabs>
          <w:tab w:val="left" w:pos="7088"/>
        </w:tabs>
        <w:spacing w:line="360" w:lineRule="auto"/>
        <w:rPr>
          <w:sz w:val="14"/>
          <w:szCs w:val="18"/>
          <w:lang w:val="fr-FR"/>
        </w:rPr>
      </w:pPr>
    </w:p>
    <w:p w14:paraId="0DFF6CCC" w14:textId="77777777" w:rsidR="00A65266" w:rsidRPr="006A7EA8" w:rsidRDefault="00A65266" w:rsidP="000B7CB3">
      <w:pPr>
        <w:tabs>
          <w:tab w:val="left" w:pos="7088"/>
        </w:tabs>
        <w:spacing w:line="360" w:lineRule="auto"/>
        <w:rPr>
          <w:rFonts w:cs="Arial"/>
          <w:sz w:val="22"/>
          <w:szCs w:val="22"/>
          <w:lang w:val="fr-FR"/>
        </w:rPr>
      </w:pPr>
    </w:p>
    <w:p w14:paraId="1AFD8B2E" w14:textId="47ECF524" w:rsidR="007630C5" w:rsidRPr="006A7EA8" w:rsidRDefault="006A7EA8" w:rsidP="007630C5">
      <w:pPr>
        <w:spacing w:line="360" w:lineRule="auto"/>
        <w:rPr>
          <w:rFonts w:eastAsiaTheme="minorEastAsia" w:cstheme="minorBidi"/>
          <w:b/>
          <w:sz w:val="28"/>
          <w:szCs w:val="22"/>
          <w:lang w:val="fr-FR"/>
        </w:rPr>
      </w:pPr>
      <w:r w:rsidRPr="006A7EA8">
        <w:rPr>
          <w:rFonts w:eastAsiaTheme="minorEastAsia" w:cstheme="minorBidi"/>
          <w:b/>
          <w:sz w:val="28"/>
          <w:szCs w:val="22"/>
          <w:lang w:val="fr-FR"/>
        </w:rPr>
        <w:t>Entretien efficace de vannes à membrane à usage unique</w:t>
      </w:r>
    </w:p>
    <w:p w14:paraId="0BD1189D" w14:textId="77777777" w:rsidR="007630C5" w:rsidRPr="006A7EA8" w:rsidRDefault="007630C5" w:rsidP="007630C5">
      <w:pPr>
        <w:spacing w:line="360" w:lineRule="auto"/>
        <w:rPr>
          <w:b/>
          <w:sz w:val="32"/>
          <w:szCs w:val="24"/>
          <w:lang w:val="fr-FR"/>
        </w:rPr>
      </w:pPr>
    </w:p>
    <w:p w14:paraId="2AE3C752" w14:textId="71919532" w:rsidR="006A7EA8" w:rsidRPr="006A7EA8" w:rsidRDefault="006A7EA8" w:rsidP="006A7EA8">
      <w:pPr>
        <w:spacing w:line="360" w:lineRule="auto"/>
        <w:rPr>
          <w:rFonts w:eastAsiaTheme="minorEastAsia" w:cstheme="minorBidi"/>
          <w:b/>
          <w:bCs/>
          <w:iCs/>
          <w:sz w:val="22"/>
          <w:szCs w:val="22"/>
          <w:lang w:val="fr-FR"/>
        </w:rPr>
      </w:pPr>
      <w:r w:rsidRPr="006A7EA8">
        <w:rPr>
          <w:rFonts w:eastAsiaTheme="minorEastAsia" w:cstheme="minorBidi"/>
          <w:b/>
          <w:bCs/>
          <w:iCs/>
          <w:sz w:val="22"/>
          <w:szCs w:val="22"/>
          <w:lang w:val="fr-FR"/>
        </w:rPr>
        <w:t>Le spécialiste allemand des vannes GEMÜ a perfectionné sa première vanne à membrane à usage unique au monde. Elle permet un entretien encore plus rapide et plus efficace d'installations à usage unique.</w:t>
      </w:r>
    </w:p>
    <w:p w14:paraId="6FA9FBA6" w14:textId="7F626376" w:rsidR="007630C5" w:rsidRPr="006A7EA8" w:rsidRDefault="007630C5" w:rsidP="007630C5">
      <w:pPr>
        <w:spacing w:line="360" w:lineRule="auto"/>
        <w:rPr>
          <w:rFonts w:eastAsiaTheme="minorEastAsia" w:cstheme="minorBidi"/>
          <w:b/>
          <w:bCs/>
          <w:iCs/>
          <w:sz w:val="22"/>
          <w:szCs w:val="22"/>
          <w:lang w:val="fr-FR"/>
        </w:rPr>
      </w:pPr>
    </w:p>
    <w:p w14:paraId="7299979F" w14:textId="4FABB59F" w:rsidR="006A7EA8" w:rsidRPr="006A7EA8" w:rsidRDefault="006A7EA8" w:rsidP="006A7EA8">
      <w:pPr>
        <w:autoSpaceDE w:val="0"/>
        <w:autoSpaceDN w:val="0"/>
        <w:adjustRightInd w:val="0"/>
        <w:spacing w:line="360" w:lineRule="auto"/>
        <w:rPr>
          <w:rFonts w:eastAsiaTheme="minorEastAsia" w:cstheme="minorBidi"/>
          <w:sz w:val="22"/>
          <w:szCs w:val="22"/>
          <w:lang w:val="fr-FR"/>
        </w:rPr>
      </w:pPr>
      <w:r w:rsidRPr="006A7EA8">
        <w:rPr>
          <w:rFonts w:eastAsiaTheme="minorEastAsia" w:cstheme="minorBidi"/>
          <w:sz w:val="22"/>
          <w:szCs w:val="22"/>
          <w:lang w:val="fr-FR"/>
        </w:rPr>
        <w:t>Le nouveau concept de connexion innovant de l'actionneur de vanne et du corps de vanne permet un fonctionnement des vannes en toute sécurité pour mettre l'actionneur en position d'ouverture. Seule l'unité en contact avec le fluide comprenant le corps de vanne et la membrane soudée doit être connectée à l'actionneur de vanne à l'aide de la bague de serrage. La vanne est prête à l'emploi et peut être actionnée.</w:t>
      </w:r>
    </w:p>
    <w:p w14:paraId="095A9D0F"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p>
    <w:p w14:paraId="74480A4F"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r w:rsidRPr="006A7EA8">
        <w:rPr>
          <w:rFonts w:eastAsiaTheme="minorEastAsia" w:cstheme="minorBidi"/>
          <w:sz w:val="22"/>
          <w:szCs w:val="22"/>
          <w:lang w:val="fr-FR"/>
        </w:rPr>
        <w:t>Si l'unité en contact avec le fluide doit être remplacée, il suffit d'ouvrir la vanne, de desserrer la bague de serrage et de mettre l'actionneur de vanne en position fermée. Les composants peuvent ensuite être séparés facilement les uns des autres.</w:t>
      </w:r>
    </w:p>
    <w:p w14:paraId="0AC06BF1"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p>
    <w:p w14:paraId="12F9BE1E"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r w:rsidRPr="006A7EA8">
        <w:rPr>
          <w:rFonts w:eastAsiaTheme="minorEastAsia" w:cstheme="minorBidi"/>
          <w:sz w:val="22"/>
          <w:szCs w:val="22"/>
          <w:lang w:val="fr-FR"/>
        </w:rPr>
        <w:t xml:space="preserve">L'unité en contact avec le fluide n'est pas modifiée par le nouveau concept de connexion. Les composants en stock peuvent continuer à être utilisés </w:t>
      </w:r>
      <w:proofErr w:type="gramStart"/>
      <w:r w:rsidRPr="006A7EA8">
        <w:rPr>
          <w:rFonts w:eastAsiaTheme="minorEastAsia" w:cstheme="minorBidi"/>
          <w:sz w:val="22"/>
          <w:szCs w:val="22"/>
          <w:lang w:val="fr-FR"/>
        </w:rPr>
        <w:t>sans restrictions</w:t>
      </w:r>
      <w:proofErr w:type="gramEnd"/>
      <w:r w:rsidRPr="006A7EA8">
        <w:rPr>
          <w:rFonts w:eastAsiaTheme="minorEastAsia" w:cstheme="minorBidi"/>
          <w:sz w:val="22"/>
          <w:szCs w:val="22"/>
          <w:lang w:val="fr-FR"/>
        </w:rPr>
        <w:t>.</w:t>
      </w:r>
    </w:p>
    <w:p w14:paraId="11FF35E8"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p>
    <w:p w14:paraId="06C3B0D2" w14:textId="77777777" w:rsidR="006A7EA8" w:rsidRPr="006A7EA8" w:rsidRDefault="006A7EA8" w:rsidP="006A7EA8">
      <w:pPr>
        <w:autoSpaceDE w:val="0"/>
        <w:autoSpaceDN w:val="0"/>
        <w:adjustRightInd w:val="0"/>
        <w:spacing w:line="360" w:lineRule="auto"/>
        <w:rPr>
          <w:rFonts w:eastAsiaTheme="minorEastAsia" w:cstheme="minorBidi"/>
          <w:sz w:val="22"/>
          <w:szCs w:val="22"/>
          <w:lang w:val="fr-FR"/>
        </w:rPr>
      </w:pPr>
      <w:r w:rsidRPr="006A7EA8">
        <w:rPr>
          <w:rFonts w:eastAsiaTheme="minorEastAsia" w:cstheme="minorBidi"/>
          <w:sz w:val="22"/>
          <w:szCs w:val="22"/>
          <w:lang w:val="fr-FR"/>
        </w:rPr>
        <w:t>Le nouveau concept de connexion est disponible dès maintenant comme modèle pneumatique GEMÜ SU40 SUMONDO ou comme variante motorisé GEMÜ SU60 SUMONDO.</w:t>
      </w:r>
    </w:p>
    <w:p w14:paraId="069A2365" w14:textId="1C6309DC" w:rsidR="005D4C43" w:rsidRPr="006A7EA8" w:rsidRDefault="005D4C43" w:rsidP="00F3788D">
      <w:pPr>
        <w:autoSpaceDE w:val="0"/>
        <w:autoSpaceDN w:val="0"/>
        <w:adjustRightInd w:val="0"/>
        <w:spacing w:line="360" w:lineRule="auto"/>
        <w:rPr>
          <w:rFonts w:cs="Arial"/>
          <w:b/>
          <w:sz w:val="22"/>
          <w:szCs w:val="22"/>
          <w:lang w:val="fr-FR"/>
        </w:rPr>
      </w:pPr>
    </w:p>
    <w:p w14:paraId="624C88E5" w14:textId="77777777" w:rsidR="000B7CB3" w:rsidRPr="006A7EA8" w:rsidRDefault="000B7CB3" w:rsidP="00F3788D">
      <w:pPr>
        <w:autoSpaceDE w:val="0"/>
        <w:autoSpaceDN w:val="0"/>
        <w:adjustRightInd w:val="0"/>
        <w:spacing w:line="360" w:lineRule="auto"/>
        <w:rPr>
          <w:rFonts w:cs="Arial"/>
          <w:b/>
          <w:lang w:val="fr-FR"/>
        </w:rPr>
      </w:pPr>
    </w:p>
    <w:p w14:paraId="2D2CA3AA" w14:textId="77777777" w:rsidR="00827B88" w:rsidRPr="006A7EA8" w:rsidRDefault="00827B88" w:rsidP="00F3788D">
      <w:pPr>
        <w:autoSpaceDE w:val="0"/>
        <w:autoSpaceDN w:val="0"/>
        <w:adjustRightInd w:val="0"/>
        <w:spacing w:line="360" w:lineRule="auto"/>
        <w:rPr>
          <w:rFonts w:cs="Arial"/>
          <w:b/>
          <w:lang w:val="fr-FR"/>
        </w:rPr>
      </w:pPr>
    </w:p>
    <w:p w14:paraId="248F8EDF" w14:textId="77777777" w:rsidR="00827B88" w:rsidRPr="006A7EA8" w:rsidRDefault="00827B88" w:rsidP="00F3788D">
      <w:pPr>
        <w:autoSpaceDE w:val="0"/>
        <w:autoSpaceDN w:val="0"/>
        <w:adjustRightInd w:val="0"/>
        <w:spacing w:line="360" w:lineRule="auto"/>
        <w:rPr>
          <w:rFonts w:cs="Arial"/>
          <w:b/>
          <w:lang w:val="fr-FR"/>
        </w:rPr>
      </w:pPr>
    </w:p>
    <w:p w14:paraId="3268B9E2" w14:textId="77777777" w:rsidR="00827B88" w:rsidRPr="006A7EA8" w:rsidRDefault="00827B88" w:rsidP="00F3788D">
      <w:pPr>
        <w:autoSpaceDE w:val="0"/>
        <w:autoSpaceDN w:val="0"/>
        <w:adjustRightInd w:val="0"/>
        <w:spacing w:line="360" w:lineRule="auto"/>
        <w:rPr>
          <w:rFonts w:cs="Arial"/>
          <w:b/>
          <w:lang w:val="fr-FR"/>
        </w:rPr>
      </w:pPr>
    </w:p>
    <w:p w14:paraId="76AFE7C4" w14:textId="77777777" w:rsidR="00827B88" w:rsidRPr="006A7EA8" w:rsidRDefault="00827B88" w:rsidP="00F3788D">
      <w:pPr>
        <w:autoSpaceDE w:val="0"/>
        <w:autoSpaceDN w:val="0"/>
        <w:adjustRightInd w:val="0"/>
        <w:spacing w:line="360" w:lineRule="auto"/>
        <w:rPr>
          <w:rFonts w:cs="Arial"/>
          <w:b/>
          <w:lang w:val="fr-FR"/>
        </w:rPr>
      </w:pPr>
    </w:p>
    <w:p w14:paraId="555B5425" w14:textId="26F44432" w:rsidR="00827B88" w:rsidRDefault="006A7EA8" w:rsidP="00F3788D">
      <w:pPr>
        <w:autoSpaceDE w:val="0"/>
        <w:autoSpaceDN w:val="0"/>
        <w:adjustRightInd w:val="0"/>
        <w:spacing w:line="360" w:lineRule="auto"/>
        <w:rPr>
          <w:rFonts w:cs="Arial"/>
          <w:b/>
          <w:lang w:val="fr-FR"/>
        </w:rPr>
      </w:pPr>
      <w:r>
        <w:rPr>
          <w:noProof/>
        </w:rPr>
        <w:lastRenderedPageBreak/>
        <w:drawing>
          <wp:inline distT="0" distB="0" distL="0" distR="0" wp14:anchorId="4C802AC4" wp14:editId="6BF58EE5">
            <wp:extent cx="1358983" cy="21031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8279" cy="2132982"/>
                    </a:xfrm>
                    <a:prstGeom prst="rect">
                      <a:avLst/>
                    </a:prstGeom>
                  </pic:spPr>
                </pic:pic>
              </a:graphicData>
            </a:graphic>
          </wp:inline>
        </w:drawing>
      </w:r>
      <w:r>
        <w:rPr>
          <w:rFonts w:cs="Arial"/>
          <w:b/>
          <w:lang w:val="fr-FR"/>
        </w:rPr>
        <w:t xml:space="preserve">                 </w:t>
      </w:r>
      <w:r>
        <w:rPr>
          <w:noProof/>
        </w:rPr>
        <w:drawing>
          <wp:inline distT="0" distB="0" distL="0" distR="0" wp14:anchorId="115D50E7" wp14:editId="43F57553">
            <wp:extent cx="1390927" cy="21869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55"/>
                    <a:stretch/>
                  </pic:blipFill>
                  <pic:spPr bwMode="auto">
                    <a:xfrm>
                      <a:off x="0" y="0"/>
                      <a:ext cx="1404456" cy="2208211"/>
                    </a:xfrm>
                    <a:prstGeom prst="rect">
                      <a:avLst/>
                    </a:prstGeom>
                    <a:ln>
                      <a:noFill/>
                    </a:ln>
                    <a:extLst>
                      <a:ext uri="{53640926-AAD7-44D8-BBD7-CCE9431645EC}">
                        <a14:shadowObscured xmlns:a14="http://schemas.microsoft.com/office/drawing/2010/main"/>
                      </a:ext>
                    </a:extLst>
                  </pic:spPr>
                </pic:pic>
              </a:graphicData>
            </a:graphic>
          </wp:inline>
        </w:drawing>
      </w:r>
    </w:p>
    <w:p w14:paraId="1D2E032B" w14:textId="77777777" w:rsidR="006A7EA8" w:rsidRPr="006A7EA8" w:rsidRDefault="006A7EA8" w:rsidP="006A7EA8">
      <w:pPr>
        <w:rPr>
          <w:lang w:val="fr-FR"/>
        </w:rPr>
      </w:pPr>
      <w:r>
        <w:rPr>
          <w:rFonts w:eastAsiaTheme="minorEastAsia" w:cstheme="minorBidi"/>
          <w:lang w:val="fr-FR"/>
        </w:rPr>
        <w:t>Modèle pneumatique GEMÜ SU40 SUMONDO et variante motorisée GEMÜ SU60 SUMONDO</w:t>
      </w:r>
    </w:p>
    <w:p w14:paraId="03E9033E" w14:textId="77777777" w:rsidR="006A7EA8" w:rsidRPr="006A7EA8" w:rsidRDefault="006A7EA8" w:rsidP="00F3788D">
      <w:pPr>
        <w:autoSpaceDE w:val="0"/>
        <w:autoSpaceDN w:val="0"/>
        <w:adjustRightInd w:val="0"/>
        <w:spacing w:line="360" w:lineRule="auto"/>
        <w:rPr>
          <w:rFonts w:cs="Arial"/>
          <w:b/>
          <w:lang w:val="fr-FR"/>
        </w:rPr>
      </w:pPr>
    </w:p>
    <w:p w14:paraId="2BB7F8B8" w14:textId="77777777" w:rsidR="00827B88" w:rsidRPr="006A7EA8" w:rsidRDefault="00827B88" w:rsidP="00F3788D">
      <w:pPr>
        <w:autoSpaceDE w:val="0"/>
        <w:autoSpaceDN w:val="0"/>
        <w:adjustRightInd w:val="0"/>
        <w:spacing w:line="360" w:lineRule="auto"/>
        <w:rPr>
          <w:rFonts w:cs="Arial"/>
          <w:b/>
          <w:lang w:val="fr-FR"/>
        </w:rPr>
      </w:pPr>
    </w:p>
    <w:p w14:paraId="4BCD6630" w14:textId="77777777" w:rsidR="00827B88" w:rsidRPr="006A7EA8" w:rsidRDefault="00827B88" w:rsidP="00F3788D">
      <w:pPr>
        <w:autoSpaceDE w:val="0"/>
        <w:autoSpaceDN w:val="0"/>
        <w:adjustRightInd w:val="0"/>
        <w:spacing w:line="360" w:lineRule="auto"/>
        <w:rPr>
          <w:rFonts w:cs="Arial"/>
          <w:b/>
          <w:lang w:val="fr-FR"/>
        </w:rPr>
      </w:pPr>
    </w:p>
    <w:p w14:paraId="21D613E2" w14:textId="77777777" w:rsidR="006D3EC9" w:rsidRPr="006A7EA8" w:rsidRDefault="006D3EC9" w:rsidP="00F3788D">
      <w:pPr>
        <w:autoSpaceDE w:val="0"/>
        <w:autoSpaceDN w:val="0"/>
        <w:adjustRightInd w:val="0"/>
        <w:spacing w:line="360" w:lineRule="auto"/>
        <w:rPr>
          <w:rFonts w:cs="Arial"/>
          <w:b/>
          <w:lang w:val="fr-FR"/>
        </w:rPr>
      </w:pPr>
    </w:p>
    <w:p w14:paraId="7F29A362" w14:textId="77777777" w:rsidR="006D3EC9" w:rsidRPr="006746DE" w:rsidRDefault="006D3EC9" w:rsidP="006D3EC9">
      <w:pPr>
        <w:pStyle w:val="bodytext"/>
        <w:spacing w:line="360" w:lineRule="auto"/>
        <w:rPr>
          <w:rFonts w:ascii="Arial" w:hAnsi="Arial" w:cs="Arial"/>
          <w:sz w:val="20"/>
          <w:szCs w:val="20"/>
        </w:rPr>
      </w:pPr>
      <w:proofErr w:type="spellStart"/>
      <w:r w:rsidRPr="006746DE">
        <w:rPr>
          <w:rFonts w:ascii="Arial" w:hAnsi="Arial" w:cs="Arial"/>
          <w:b/>
          <w:bCs/>
          <w:sz w:val="20"/>
          <w:szCs w:val="20"/>
        </w:rPr>
        <w:t>Informations</w:t>
      </w:r>
      <w:proofErr w:type="spellEnd"/>
      <w:r w:rsidRPr="006746DE">
        <w:rPr>
          <w:rFonts w:ascii="Arial" w:hAnsi="Arial" w:cs="Arial"/>
          <w:b/>
          <w:bCs/>
          <w:sz w:val="20"/>
          <w:szCs w:val="20"/>
        </w:rPr>
        <w:t xml:space="preserve"> de </w:t>
      </w:r>
      <w:proofErr w:type="spellStart"/>
      <w:r w:rsidRPr="006746DE">
        <w:rPr>
          <w:rFonts w:ascii="Arial" w:hAnsi="Arial" w:cs="Arial"/>
          <w:b/>
          <w:bCs/>
          <w:sz w:val="20"/>
          <w:szCs w:val="20"/>
        </w:rPr>
        <w:t>fond</w:t>
      </w:r>
      <w:proofErr w:type="spellEnd"/>
    </w:p>
    <w:p w14:paraId="7B6DF017" w14:textId="77777777"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w:t>
      </w:r>
      <w:proofErr w:type="gramStart"/>
      <w:r w:rsidRPr="006D3EC9">
        <w:rPr>
          <w:rFonts w:ascii="Arial" w:hAnsi="Arial" w:cs="Arial"/>
          <w:sz w:val="20"/>
          <w:szCs w:val="20"/>
          <w:lang w:val="fr-FR"/>
        </w:rPr>
        <w:t>partenaires</w:t>
      </w:r>
      <w:proofErr w:type="gramEnd"/>
      <w:r w:rsidRPr="006D3EC9">
        <w:rPr>
          <w:rFonts w:ascii="Arial" w:hAnsi="Arial" w:cs="Arial"/>
          <w:sz w:val="20"/>
          <w:szCs w:val="20"/>
          <w:lang w:val="fr-FR"/>
        </w:rPr>
        <w:t xml:space="preserve">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6"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7"/>
      <w:headerReference w:type="default" r:id="rId18"/>
      <w:footerReference w:type="even" r:id="rId19"/>
      <w:footerReference w:type="default" r:id="rId20"/>
      <w:headerReference w:type="first" r:id="rId21"/>
      <w:footerReference w:type="first" r:id="rId22"/>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79B0" w14:textId="77777777" w:rsidR="00DD60B0" w:rsidRDefault="00DD60B0">
      <w:r>
        <w:separator/>
      </w:r>
    </w:p>
  </w:endnote>
  <w:endnote w:type="continuationSeparator" w:id="0">
    <w:p w14:paraId="684073D4"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CC4A"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359F"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0A9F799"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38C4C1A" w14:textId="77777777" w:rsidR="00DF0B01" w:rsidRPr="00BA7E08" w:rsidRDefault="00DF0B01" w:rsidP="005E7988">
    <w:pPr>
      <w:pStyle w:val="Webseite"/>
      <w:rPr>
        <w:color w:val="FF0000"/>
        <w:lang w:val="en-US"/>
      </w:rPr>
    </w:pPr>
    <w:r w:rsidRPr="00BA7E08">
      <w:rPr>
        <w:color w:val="FF0000"/>
        <w:lang w:val="en-US"/>
      </w:rPr>
      <w:t>www.gemu-group.com</w:t>
    </w:r>
  </w:p>
  <w:p w14:paraId="085038AC" w14:textId="77777777" w:rsidR="00DF0B01" w:rsidRPr="00BA7E08" w:rsidRDefault="00DF0B01" w:rsidP="005E7988">
    <w:pPr>
      <w:pStyle w:val="Webseite"/>
      <w:rPr>
        <w:color w:val="A6A6A6" w:themeColor="background1" w:themeShade="A6"/>
        <w:sz w:val="12"/>
        <w:szCs w:val="12"/>
        <w:lang w:val="en-US"/>
      </w:rPr>
    </w:pPr>
  </w:p>
  <w:p w14:paraId="089AD872"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76E40DA"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1BBACC9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8469EE8"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929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4D697D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78C2B23" w14:textId="77777777" w:rsidR="00DF0B01" w:rsidRPr="00BA7E08" w:rsidRDefault="00DF0B01" w:rsidP="00BC51EA">
    <w:pPr>
      <w:pStyle w:val="Webseite"/>
      <w:rPr>
        <w:color w:val="FF0000"/>
        <w:lang w:val="en-US"/>
      </w:rPr>
    </w:pPr>
    <w:r w:rsidRPr="00BA7E08">
      <w:rPr>
        <w:color w:val="FF0000"/>
        <w:lang w:val="en-US"/>
      </w:rPr>
      <w:t>www.gemu-group.com</w:t>
    </w:r>
  </w:p>
  <w:p w14:paraId="475FA63F" w14:textId="77777777" w:rsidR="00DF0B01" w:rsidRPr="00BA7E08" w:rsidRDefault="00DF0B01" w:rsidP="00BC51EA">
    <w:pPr>
      <w:pStyle w:val="Webseite"/>
      <w:rPr>
        <w:color w:val="A6A6A6" w:themeColor="background1" w:themeShade="A6"/>
        <w:sz w:val="12"/>
        <w:szCs w:val="12"/>
        <w:lang w:val="en-US"/>
      </w:rPr>
    </w:pPr>
  </w:p>
  <w:p w14:paraId="3B799222"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E7F49F"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AA0628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5F0F563"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AE8C" w14:textId="77777777" w:rsidR="00DD60B0" w:rsidRDefault="00DD60B0">
      <w:r>
        <w:separator/>
      </w:r>
    </w:p>
  </w:footnote>
  <w:footnote w:type="continuationSeparator" w:id="0">
    <w:p w14:paraId="06ADD08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0BEF"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1E62" w14:textId="77777777" w:rsidR="00DF0B01" w:rsidRDefault="00DF0B01" w:rsidP="008F1259">
    <w:pPr>
      <w:pStyle w:val="Kopfzeile"/>
      <w:tabs>
        <w:tab w:val="clear" w:pos="9072"/>
      </w:tabs>
      <w:ind w:right="-186"/>
      <w:jc w:val="right"/>
    </w:pPr>
  </w:p>
  <w:p w14:paraId="4F3A5909"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84CE4B1" wp14:editId="08EE135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6435"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30681365" wp14:editId="23BCE508">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0AB277E" wp14:editId="6116E07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B40B" w14:textId="77777777" w:rsidR="006D047F" w:rsidRDefault="006D047F" w:rsidP="006D047F">
                          <w:pPr>
                            <w:pStyle w:val="Kopfzeile"/>
                            <w:rPr>
                              <w:lang w:val="en-US"/>
                            </w:rPr>
                          </w:pPr>
                          <w:r>
                            <w:rPr>
                              <w:lang w:val="en-US"/>
                            </w:rPr>
                            <w:t>Corporate Communication</w:t>
                          </w:r>
                        </w:p>
                        <w:p w14:paraId="556AC39D" w14:textId="77777777" w:rsidR="006D047F" w:rsidRDefault="006D047F" w:rsidP="006D047F">
                          <w:pPr>
                            <w:pStyle w:val="Kopfzeile"/>
                            <w:rPr>
                              <w:lang w:val="en-US"/>
                            </w:rPr>
                          </w:pPr>
                          <w:r>
                            <w:rPr>
                              <w:lang w:val="en-US"/>
                            </w:rPr>
                            <w:t>E-Mail: presse@gemue.de</w:t>
                          </w:r>
                        </w:p>
                        <w:p w14:paraId="7BDF5206"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5AE3150" wp14:editId="46A69C1C">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F3CE"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19EEF304"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A7EA8"/>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94378A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fr_FR/"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Fischer, Luca</cp:lastModifiedBy>
  <cp:revision>2</cp:revision>
  <cp:lastPrinted>2017-08-14T14:05:00Z</cp:lastPrinted>
  <dcterms:created xsi:type="dcterms:W3CDTF">2021-08-19T11:53:00Z</dcterms:created>
  <dcterms:modified xsi:type="dcterms:W3CDTF">2021-08-19T11:53:00Z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